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7F1B4" w14:textId="77777777" w:rsidR="0020013C" w:rsidRPr="00646AC7" w:rsidRDefault="0020013C" w:rsidP="0020013C"/>
    <w:p w14:paraId="61F68C86" w14:textId="37C78511" w:rsidR="0020013C" w:rsidRDefault="0020013C" w:rsidP="00EB46CD">
      <w:pPr>
        <w:ind w:left="3686"/>
        <w:jc w:val="right"/>
        <w:rPr>
          <w:rFonts w:ascii="Verdana" w:hAnsi="Verdana"/>
          <w:b/>
          <w:sz w:val="20"/>
        </w:rPr>
      </w:pPr>
    </w:p>
    <w:tbl>
      <w:tblPr>
        <w:tblStyle w:val="Tablaconcuadrcula"/>
        <w:tblpPr w:leftFromText="141" w:rightFromText="141" w:vertAnchor="text" w:tblpXSpec="right" w:tblpY="1"/>
        <w:tblOverlap w:val="never"/>
        <w:tblW w:w="21405" w:type="dxa"/>
        <w:tblLook w:val="04A0" w:firstRow="1" w:lastRow="0" w:firstColumn="1" w:lastColumn="0" w:noHBand="0" w:noVBand="1"/>
      </w:tblPr>
      <w:tblGrid>
        <w:gridCol w:w="7366"/>
        <w:gridCol w:w="8364"/>
        <w:gridCol w:w="5675"/>
      </w:tblGrid>
      <w:tr w:rsidR="00477CF4" w:rsidRPr="00536FF3" w14:paraId="00E7E19A" w14:textId="180E7D73" w:rsidTr="00EB46CD">
        <w:trPr>
          <w:trHeight w:val="969"/>
        </w:trPr>
        <w:tc>
          <w:tcPr>
            <w:tcW w:w="21405" w:type="dxa"/>
            <w:gridSpan w:val="3"/>
            <w:shd w:val="clear" w:color="auto" w:fill="1F4E79" w:themeFill="accent1" w:themeFillShade="80"/>
            <w:vAlign w:val="center"/>
          </w:tcPr>
          <w:p w14:paraId="42E07D6C" w14:textId="77777777" w:rsidR="00AF6537" w:rsidRDefault="00AF6537" w:rsidP="00CA746E">
            <w:pPr>
              <w:spacing w:before="120"/>
              <w:jc w:val="center"/>
              <w:rPr>
                <w:rFonts w:cstheme="minorHAnsi"/>
                <w:b/>
                <w:color w:val="FFFFFF" w:themeColor="background1"/>
                <w:sz w:val="28"/>
                <w:szCs w:val="28"/>
              </w:rPr>
            </w:pPr>
            <w:r w:rsidRPr="00AF6537">
              <w:rPr>
                <w:rFonts w:cstheme="minorHAnsi"/>
                <w:b/>
                <w:color w:val="FFFFFF" w:themeColor="background1"/>
                <w:sz w:val="28"/>
                <w:szCs w:val="28"/>
              </w:rPr>
              <w:t xml:space="preserve">PROPUESTA DE MODIFICACIÓN A LA ORDENANZA GENERAL DE URBANISMO Y CONSTRUCCIONES, CON EL OBJETO DE REGULAR LA EXIGENCIA DE </w:t>
            </w:r>
          </w:p>
          <w:p w14:paraId="43AB6986" w14:textId="44197F7D" w:rsidR="00AF6537" w:rsidRDefault="00AF6537" w:rsidP="00CA746E">
            <w:pPr>
              <w:jc w:val="center"/>
              <w:rPr>
                <w:rFonts w:cstheme="minorHAnsi"/>
                <w:b/>
                <w:color w:val="FFFFFF" w:themeColor="background1"/>
                <w:sz w:val="28"/>
                <w:szCs w:val="28"/>
              </w:rPr>
            </w:pPr>
            <w:r w:rsidRPr="00AF6537">
              <w:rPr>
                <w:rFonts w:cstheme="minorHAnsi"/>
                <w:b/>
                <w:color w:val="FFFFFF" w:themeColor="background1"/>
                <w:sz w:val="28"/>
                <w:szCs w:val="28"/>
              </w:rPr>
              <w:t xml:space="preserve">INCORPORAR UNA TRAMA VIAL EN LOS INSTRUMENTOS DE PLANIFICACIÓN URBANA COMUNAL, QUE GARANTICE LA CONTINUIDAD DEL ESPACIO </w:t>
            </w:r>
          </w:p>
          <w:p w14:paraId="7EEF5986" w14:textId="393865F0" w:rsidR="00292C20" w:rsidRPr="00442C05" w:rsidRDefault="00AF6537" w:rsidP="00CA746E">
            <w:pPr>
              <w:spacing w:after="120"/>
              <w:jc w:val="center"/>
              <w:rPr>
                <w:rFonts w:cstheme="minorHAnsi"/>
                <w:b/>
                <w:color w:val="FFFFFF" w:themeColor="background1"/>
                <w:sz w:val="28"/>
                <w:szCs w:val="28"/>
              </w:rPr>
            </w:pPr>
            <w:r w:rsidRPr="00AF6537">
              <w:rPr>
                <w:rFonts w:cstheme="minorHAnsi"/>
                <w:b/>
                <w:color w:val="FFFFFF" w:themeColor="background1"/>
                <w:sz w:val="28"/>
                <w:szCs w:val="28"/>
              </w:rPr>
              <w:t>PÚBLICO Y LA CONECTIVIDAD CON LA VIALIDAD DEL SECTOR, IDENTIFICANDO LAS REGLAS GENERALES APLICABLES Y LAS EXCEPCIONES ADMITIDAS</w:t>
            </w:r>
          </w:p>
        </w:tc>
      </w:tr>
      <w:tr w:rsidR="00BE361A" w:rsidRPr="00536FF3" w14:paraId="4BFDD0AB" w14:textId="3F4A6516" w:rsidTr="00BE361A">
        <w:trPr>
          <w:trHeight w:val="666"/>
        </w:trPr>
        <w:tc>
          <w:tcPr>
            <w:tcW w:w="7366" w:type="dxa"/>
            <w:shd w:val="clear" w:color="auto" w:fill="BDD6EE" w:themeFill="accent1" w:themeFillTint="66"/>
            <w:vAlign w:val="center"/>
          </w:tcPr>
          <w:p w14:paraId="4A79E9D7" w14:textId="0277B07B" w:rsidR="00477CF4" w:rsidRPr="00D3509B" w:rsidRDefault="00477CF4" w:rsidP="00CA746E">
            <w:pPr>
              <w:tabs>
                <w:tab w:val="left" w:pos="30"/>
              </w:tabs>
              <w:jc w:val="center"/>
              <w:rPr>
                <w:rFonts w:cstheme="minorHAnsi"/>
                <w:b/>
                <w:sz w:val="24"/>
                <w:szCs w:val="24"/>
              </w:rPr>
            </w:pPr>
            <w:r w:rsidRPr="00D3509B">
              <w:rPr>
                <w:rFonts w:cstheme="minorHAnsi"/>
                <w:b/>
                <w:sz w:val="24"/>
                <w:szCs w:val="24"/>
              </w:rPr>
              <w:t xml:space="preserve">TEXTO </w:t>
            </w:r>
            <w:r w:rsidR="00617EB8">
              <w:rPr>
                <w:rFonts w:cstheme="minorHAnsi"/>
                <w:b/>
                <w:sz w:val="24"/>
                <w:szCs w:val="24"/>
              </w:rPr>
              <w:t>VIGENTE</w:t>
            </w:r>
          </w:p>
        </w:tc>
        <w:tc>
          <w:tcPr>
            <w:tcW w:w="8364" w:type="dxa"/>
            <w:shd w:val="clear" w:color="auto" w:fill="BDD6EE" w:themeFill="accent1" w:themeFillTint="66"/>
            <w:vAlign w:val="center"/>
          </w:tcPr>
          <w:p w14:paraId="420CABEE" w14:textId="31ACAB61" w:rsidR="00477CF4" w:rsidRPr="00D3509B" w:rsidRDefault="00617EB8" w:rsidP="00CA746E">
            <w:pPr>
              <w:tabs>
                <w:tab w:val="left" w:pos="30"/>
              </w:tabs>
              <w:jc w:val="center"/>
              <w:rPr>
                <w:rFonts w:cstheme="minorHAnsi"/>
                <w:b/>
                <w:sz w:val="24"/>
                <w:szCs w:val="24"/>
              </w:rPr>
            </w:pPr>
            <w:r>
              <w:rPr>
                <w:rFonts w:cstheme="minorHAnsi"/>
                <w:b/>
                <w:sz w:val="24"/>
                <w:szCs w:val="24"/>
              </w:rPr>
              <w:t>TEXTO PROPUESTO</w:t>
            </w:r>
          </w:p>
        </w:tc>
        <w:tc>
          <w:tcPr>
            <w:tcW w:w="5675" w:type="dxa"/>
            <w:shd w:val="clear" w:color="auto" w:fill="BDD6EE" w:themeFill="accent1" w:themeFillTint="66"/>
            <w:vAlign w:val="center"/>
          </w:tcPr>
          <w:p w14:paraId="592F2BB0" w14:textId="77777777" w:rsidR="00EB46CD" w:rsidRDefault="00477CF4" w:rsidP="00CA746E">
            <w:pPr>
              <w:tabs>
                <w:tab w:val="left" w:pos="30"/>
              </w:tabs>
              <w:jc w:val="center"/>
              <w:rPr>
                <w:rFonts w:cstheme="minorHAnsi"/>
                <w:b/>
                <w:sz w:val="24"/>
                <w:szCs w:val="24"/>
              </w:rPr>
            </w:pPr>
            <w:r>
              <w:rPr>
                <w:rFonts w:cstheme="minorHAnsi"/>
                <w:b/>
                <w:sz w:val="24"/>
                <w:szCs w:val="24"/>
              </w:rPr>
              <w:t>COMENTARIOS / CONTRIBUCIONES</w:t>
            </w:r>
            <w:r w:rsidR="00AF6537">
              <w:rPr>
                <w:rFonts w:cstheme="minorHAnsi"/>
                <w:b/>
                <w:sz w:val="24"/>
                <w:szCs w:val="24"/>
              </w:rPr>
              <w:t xml:space="preserve"> </w:t>
            </w:r>
          </w:p>
          <w:p w14:paraId="2414DD21" w14:textId="79E82061" w:rsidR="00477CF4" w:rsidRPr="00D3509B" w:rsidRDefault="00AF6537" w:rsidP="00CA746E">
            <w:pPr>
              <w:tabs>
                <w:tab w:val="left" w:pos="30"/>
              </w:tabs>
              <w:jc w:val="center"/>
              <w:rPr>
                <w:rFonts w:cstheme="minorHAnsi"/>
                <w:b/>
                <w:sz w:val="24"/>
                <w:szCs w:val="24"/>
              </w:rPr>
            </w:pPr>
            <w:r>
              <w:rPr>
                <w:rFonts w:cstheme="minorHAnsi"/>
                <w:b/>
                <w:sz w:val="24"/>
                <w:szCs w:val="24"/>
              </w:rPr>
              <w:t>(CONSULTA PÚBLICA)</w:t>
            </w:r>
          </w:p>
        </w:tc>
      </w:tr>
      <w:tr w:rsidR="00BC6537" w:rsidRPr="00536FF3" w14:paraId="4B646B84" w14:textId="77777777" w:rsidTr="00CE634F">
        <w:trPr>
          <w:trHeight w:val="290"/>
        </w:trPr>
        <w:tc>
          <w:tcPr>
            <w:tcW w:w="7366" w:type="dxa"/>
          </w:tcPr>
          <w:p w14:paraId="32A1C099" w14:textId="77777777" w:rsidR="00BC6537" w:rsidRPr="00BC6537" w:rsidRDefault="00BC6537" w:rsidP="00CA746E">
            <w:pPr>
              <w:spacing w:before="120"/>
              <w:jc w:val="center"/>
              <w:rPr>
                <w:rFonts w:ascii="Calibri" w:hAnsi="Calibri" w:cs="Calibri"/>
                <w:b/>
              </w:rPr>
            </w:pPr>
            <w:r w:rsidRPr="00BC6537">
              <w:rPr>
                <w:rFonts w:ascii="Calibri" w:hAnsi="Calibri" w:cs="Calibri"/>
                <w:b/>
              </w:rPr>
              <w:t xml:space="preserve">D.S. N° 47 (V. Y U.), DE 1992 </w:t>
            </w:r>
          </w:p>
          <w:p w14:paraId="6803989C" w14:textId="02667777" w:rsidR="00BC6537" w:rsidRPr="00BC6537" w:rsidRDefault="00BC6537" w:rsidP="00CA746E">
            <w:pPr>
              <w:spacing w:after="120"/>
              <w:jc w:val="center"/>
              <w:rPr>
                <w:rFonts w:ascii="Calibri" w:hAnsi="Calibri" w:cs="Calibri"/>
                <w:b/>
              </w:rPr>
            </w:pPr>
            <w:r w:rsidRPr="00BC6537">
              <w:rPr>
                <w:rFonts w:ascii="Calibri" w:hAnsi="Calibri" w:cs="Calibri"/>
                <w:b/>
              </w:rPr>
              <w:t>ORDENANZA GENERAL DE URBANISMO Y CONSTRUCCIONES</w:t>
            </w:r>
          </w:p>
        </w:tc>
        <w:tc>
          <w:tcPr>
            <w:tcW w:w="8364" w:type="dxa"/>
          </w:tcPr>
          <w:p w14:paraId="562E0196" w14:textId="6B182F5E" w:rsidR="00617EB8" w:rsidRPr="00BC6537" w:rsidRDefault="00617EB8" w:rsidP="00617EB8">
            <w:pPr>
              <w:spacing w:before="120"/>
              <w:jc w:val="center"/>
              <w:rPr>
                <w:rFonts w:ascii="Calibri" w:hAnsi="Calibri" w:cs="Calibri"/>
                <w:b/>
              </w:rPr>
            </w:pPr>
            <w:r w:rsidRPr="00BC6537">
              <w:rPr>
                <w:rFonts w:ascii="Calibri" w:hAnsi="Calibri" w:cs="Calibri"/>
                <w:b/>
              </w:rPr>
              <w:t xml:space="preserve">D.S. </w:t>
            </w:r>
            <w:proofErr w:type="spellStart"/>
            <w:r w:rsidRPr="00BC6537">
              <w:rPr>
                <w:rFonts w:ascii="Calibri" w:hAnsi="Calibri" w:cs="Calibri"/>
                <w:b/>
              </w:rPr>
              <w:t>N°</w:t>
            </w:r>
            <w:proofErr w:type="spellEnd"/>
            <w:r w:rsidRPr="00BC6537">
              <w:rPr>
                <w:rFonts w:ascii="Calibri" w:hAnsi="Calibri" w:cs="Calibri"/>
                <w:b/>
              </w:rPr>
              <w:t xml:space="preserve"> 47 (V. Y U.), DE 1992</w:t>
            </w:r>
          </w:p>
          <w:p w14:paraId="6D02810B" w14:textId="3DFFC257" w:rsidR="00BC6537" w:rsidRPr="00BE361A" w:rsidRDefault="00617EB8" w:rsidP="00BE361A">
            <w:pPr>
              <w:spacing w:after="120"/>
              <w:ind w:left="79" w:right="170"/>
              <w:jc w:val="center"/>
              <w:rPr>
                <w:rFonts w:ascii="Calibri" w:hAnsi="Calibri" w:cs="Calibri"/>
                <w:b/>
              </w:rPr>
            </w:pPr>
            <w:r w:rsidRPr="00BC6537">
              <w:rPr>
                <w:rFonts w:ascii="Calibri" w:hAnsi="Calibri" w:cs="Calibri"/>
                <w:b/>
              </w:rPr>
              <w:t>ORDENANZA GENERAL DE URBANISMO Y CONSTRUCCIONES</w:t>
            </w:r>
          </w:p>
        </w:tc>
        <w:tc>
          <w:tcPr>
            <w:tcW w:w="5675" w:type="dxa"/>
            <w:vAlign w:val="center"/>
          </w:tcPr>
          <w:p w14:paraId="141D842D" w14:textId="77777777" w:rsidR="00BC6537" w:rsidRPr="00CE634F" w:rsidRDefault="00BC6537" w:rsidP="00CE634F">
            <w:pPr>
              <w:spacing w:before="120" w:after="120"/>
              <w:ind w:left="119" w:right="176"/>
              <w:jc w:val="both"/>
              <w:rPr>
                <w:rFonts w:ascii="Calibri" w:hAnsi="Calibri" w:cs="Calibri"/>
                <w:spacing w:val="-3"/>
                <w:sz w:val="20"/>
                <w:szCs w:val="20"/>
              </w:rPr>
            </w:pPr>
          </w:p>
        </w:tc>
      </w:tr>
      <w:tr w:rsidR="00BC6537" w:rsidRPr="00536FF3" w14:paraId="26260E7D" w14:textId="77777777" w:rsidTr="00CE634F">
        <w:trPr>
          <w:trHeight w:val="290"/>
        </w:trPr>
        <w:tc>
          <w:tcPr>
            <w:tcW w:w="7366" w:type="dxa"/>
          </w:tcPr>
          <w:p w14:paraId="5FC8E2F6" w14:textId="77777777" w:rsidR="00BC6537" w:rsidRPr="00BC6537" w:rsidRDefault="00BC6537" w:rsidP="00CA746E">
            <w:pPr>
              <w:spacing w:before="120"/>
              <w:jc w:val="center"/>
              <w:rPr>
                <w:rFonts w:ascii="Calibri" w:hAnsi="Calibri" w:cs="Calibri"/>
                <w:b/>
              </w:rPr>
            </w:pPr>
            <w:r w:rsidRPr="00BC6537">
              <w:rPr>
                <w:rFonts w:ascii="Calibri" w:hAnsi="Calibri" w:cs="Calibri"/>
                <w:b/>
              </w:rPr>
              <w:t>TITULO 2</w:t>
            </w:r>
          </w:p>
          <w:p w14:paraId="4853DF65" w14:textId="38B7CE0F" w:rsidR="00BC6537" w:rsidRPr="003704CD" w:rsidRDefault="00BC6537" w:rsidP="00CA746E">
            <w:pPr>
              <w:spacing w:after="120"/>
              <w:jc w:val="center"/>
              <w:rPr>
                <w:rFonts w:ascii="Calibri" w:hAnsi="Calibri" w:cs="Calibri"/>
                <w:b/>
              </w:rPr>
            </w:pPr>
            <w:r w:rsidRPr="00BC6537">
              <w:rPr>
                <w:rFonts w:ascii="Calibri" w:hAnsi="Calibri" w:cs="Calibri"/>
                <w:b/>
              </w:rPr>
              <w:t>DE LA PLANIFICACIÓN Y DE LOS PLANES DE INVERSIONES EN INFRAESTRUCTURA DE MOVILIDAD Y ESPACIO PÚBLICO</w:t>
            </w:r>
          </w:p>
        </w:tc>
        <w:tc>
          <w:tcPr>
            <w:tcW w:w="8364" w:type="dxa"/>
          </w:tcPr>
          <w:p w14:paraId="75C3BB06" w14:textId="77777777" w:rsidR="005B4C23" w:rsidRPr="00BC6537" w:rsidRDefault="005B4C23" w:rsidP="005B4C23">
            <w:pPr>
              <w:spacing w:before="120"/>
              <w:jc w:val="center"/>
              <w:rPr>
                <w:rFonts w:ascii="Calibri" w:hAnsi="Calibri" w:cs="Calibri"/>
                <w:b/>
              </w:rPr>
            </w:pPr>
            <w:r w:rsidRPr="00BC6537">
              <w:rPr>
                <w:rFonts w:ascii="Calibri" w:hAnsi="Calibri" w:cs="Calibri"/>
                <w:b/>
              </w:rPr>
              <w:t>TITULO 2</w:t>
            </w:r>
          </w:p>
          <w:p w14:paraId="54AE067F" w14:textId="70EAD468" w:rsidR="00BC6537" w:rsidRPr="003704CD" w:rsidRDefault="005B4C23" w:rsidP="00BE361A">
            <w:pPr>
              <w:spacing w:after="120"/>
              <w:ind w:left="79" w:right="91"/>
              <w:jc w:val="center"/>
              <w:rPr>
                <w:rFonts w:ascii="Calibri" w:hAnsi="Calibri" w:cs="Calibri"/>
              </w:rPr>
            </w:pPr>
            <w:r w:rsidRPr="00BC6537">
              <w:rPr>
                <w:rFonts w:ascii="Calibri" w:hAnsi="Calibri" w:cs="Calibri"/>
                <w:b/>
              </w:rPr>
              <w:t>DE LA PLANIFICACIÓN Y DE LOS PLANES DE INVERSIONES EN INFRAESTRUCTURA DE MOVILIDAD Y ESPACIO PÚBLICO</w:t>
            </w:r>
          </w:p>
        </w:tc>
        <w:tc>
          <w:tcPr>
            <w:tcW w:w="5675" w:type="dxa"/>
            <w:vAlign w:val="center"/>
          </w:tcPr>
          <w:p w14:paraId="333C2A0D" w14:textId="77777777" w:rsidR="00BC6537" w:rsidRPr="00CE634F" w:rsidRDefault="00BC6537" w:rsidP="00CE634F">
            <w:pPr>
              <w:spacing w:before="120" w:after="120"/>
              <w:ind w:left="119" w:right="176"/>
              <w:jc w:val="both"/>
              <w:rPr>
                <w:rFonts w:ascii="Calibri" w:hAnsi="Calibri" w:cs="Calibri"/>
                <w:spacing w:val="-3"/>
                <w:sz w:val="20"/>
                <w:szCs w:val="20"/>
              </w:rPr>
            </w:pPr>
          </w:p>
        </w:tc>
      </w:tr>
      <w:tr w:rsidR="003704CD" w:rsidRPr="00536FF3" w14:paraId="4F8525EC" w14:textId="77777777" w:rsidTr="00CE634F">
        <w:trPr>
          <w:trHeight w:val="290"/>
        </w:trPr>
        <w:tc>
          <w:tcPr>
            <w:tcW w:w="7366" w:type="dxa"/>
          </w:tcPr>
          <w:p w14:paraId="66799F5B" w14:textId="77777777" w:rsidR="003704CD" w:rsidRPr="003704CD" w:rsidRDefault="003704CD" w:rsidP="00CA746E">
            <w:pPr>
              <w:spacing w:before="120"/>
              <w:jc w:val="center"/>
              <w:rPr>
                <w:rFonts w:ascii="Calibri" w:hAnsi="Calibri" w:cs="Calibri"/>
                <w:b/>
              </w:rPr>
            </w:pPr>
            <w:r w:rsidRPr="003704CD">
              <w:rPr>
                <w:rFonts w:ascii="Calibri" w:hAnsi="Calibri" w:cs="Calibri"/>
                <w:b/>
              </w:rPr>
              <w:t>CAPITULO 3</w:t>
            </w:r>
          </w:p>
          <w:p w14:paraId="64381576" w14:textId="3C0F612C" w:rsidR="003704CD" w:rsidRPr="003704CD" w:rsidRDefault="003704CD" w:rsidP="00F00FB8">
            <w:pPr>
              <w:spacing w:after="120"/>
              <w:jc w:val="center"/>
              <w:rPr>
                <w:rFonts w:ascii="Calibri" w:hAnsi="Calibri" w:cs="Calibri"/>
                <w:b/>
              </w:rPr>
            </w:pPr>
            <w:r w:rsidRPr="00041AFB">
              <w:rPr>
                <w:rFonts w:ascii="Calibri" w:hAnsi="Calibri" w:cs="Calibri"/>
                <w:b/>
              </w:rPr>
              <w:t>DE LOS TRAZADOS VIALES URBANOS</w:t>
            </w:r>
          </w:p>
        </w:tc>
        <w:tc>
          <w:tcPr>
            <w:tcW w:w="8364" w:type="dxa"/>
          </w:tcPr>
          <w:p w14:paraId="6AF0C50B" w14:textId="77777777" w:rsidR="00617EB8" w:rsidRPr="003704CD" w:rsidRDefault="00617EB8" w:rsidP="00617EB8">
            <w:pPr>
              <w:spacing w:before="120"/>
              <w:jc w:val="center"/>
              <w:rPr>
                <w:rFonts w:ascii="Calibri" w:hAnsi="Calibri" w:cs="Calibri"/>
                <w:b/>
              </w:rPr>
            </w:pPr>
            <w:r w:rsidRPr="003704CD">
              <w:rPr>
                <w:rFonts w:ascii="Calibri" w:hAnsi="Calibri" w:cs="Calibri"/>
                <w:b/>
              </w:rPr>
              <w:t>CAPITULO 3</w:t>
            </w:r>
          </w:p>
          <w:p w14:paraId="569C431B" w14:textId="3E57AAB1" w:rsidR="003704CD" w:rsidRPr="003704CD" w:rsidRDefault="00617EB8" w:rsidP="00F00FB8">
            <w:pPr>
              <w:jc w:val="center"/>
              <w:rPr>
                <w:rFonts w:ascii="Calibri" w:hAnsi="Calibri" w:cs="Calibri"/>
              </w:rPr>
            </w:pPr>
            <w:r w:rsidRPr="00617EB8">
              <w:rPr>
                <w:rFonts w:ascii="Calibri" w:hAnsi="Calibri" w:cs="Calibri"/>
                <w:b/>
              </w:rPr>
              <w:t>DE LOS TRAZADOS VIALES URBANOS</w:t>
            </w:r>
            <w:r>
              <w:rPr>
                <w:rFonts w:ascii="Calibri" w:hAnsi="Calibri" w:cs="Calibri"/>
                <w:b/>
              </w:rPr>
              <w:t xml:space="preserve"> </w:t>
            </w:r>
            <w:r w:rsidRPr="000F0849">
              <w:rPr>
                <w:rFonts w:ascii="Calibri" w:hAnsi="Calibri" w:cs="Calibri"/>
                <w:b/>
                <w:highlight w:val="yellow"/>
              </w:rPr>
              <w:t>Y</w:t>
            </w:r>
            <w:r w:rsidR="00F00FB8">
              <w:rPr>
                <w:rFonts w:ascii="Calibri" w:hAnsi="Calibri" w:cs="Calibri"/>
                <w:b/>
                <w:highlight w:val="yellow"/>
              </w:rPr>
              <w:t xml:space="preserve"> </w:t>
            </w:r>
            <w:r w:rsidRPr="000F0849">
              <w:rPr>
                <w:rFonts w:ascii="Calibri" w:hAnsi="Calibri" w:cs="Calibri"/>
                <w:b/>
                <w:highlight w:val="yellow"/>
              </w:rPr>
              <w:t>LA TRAMA O RED VIAL PÚBLICA</w:t>
            </w:r>
          </w:p>
        </w:tc>
        <w:tc>
          <w:tcPr>
            <w:tcW w:w="5675" w:type="dxa"/>
            <w:vAlign w:val="center"/>
          </w:tcPr>
          <w:p w14:paraId="43C74A96" w14:textId="77777777" w:rsidR="003704CD" w:rsidRPr="00CE634F" w:rsidRDefault="003704CD" w:rsidP="00CE634F">
            <w:pPr>
              <w:spacing w:before="120" w:after="120"/>
              <w:ind w:left="119" w:right="176"/>
              <w:jc w:val="both"/>
              <w:rPr>
                <w:rFonts w:ascii="Calibri" w:hAnsi="Calibri" w:cs="Calibri"/>
                <w:spacing w:val="-3"/>
                <w:sz w:val="20"/>
                <w:szCs w:val="20"/>
              </w:rPr>
            </w:pPr>
          </w:p>
        </w:tc>
      </w:tr>
      <w:tr w:rsidR="00AC4E0F" w:rsidRPr="00536FF3" w14:paraId="502E698E" w14:textId="750526CA" w:rsidTr="00CE634F">
        <w:trPr>
          <w:trHeight w:val="290"/>
        </w:trPr>
        <w:tc>
          <w:tcPr>
            <w:tcW w:w="7366" w:type="dxa"/>
          </w:tcPr>
          <w:p w14:paraId="37B6DB76" w14:textId="0CD9F606" w:rsidR="00F23173" w:rsidRPr="00F23173" w:rsidRDefault="00AF6537" w:rsidP="00F23173">
            <w:pPr>
              <w:spacing w:before="120" w:after="120"/>
              <w:ind w:left="176" w:right="132"/>
              <w:jc w:val="both"/>
              <w:rPr>
                <w:rFonts w:ascii="Calibri" w:hAnsi="Calibri" w:cs="Calibri"/>
                <w:bCs/>
                <w:spacing w:val="-4"/>
              </w:rPr>
            </w:pPr>
            <w:r w:rsidRPr="00787697">
              <w:rPr>
                <w:rFonts w:ascii="Calibri" w:hAnsi="Calibri" w:cs="Calibri"/>
                <w:b/>
                <w:spacing w:val="-4"/>
              </w:rPr>
              <w:t xml:space="preserve">Artículo 2.3.1. </w:t>
            </w:r>
            <w:r w:rsidR="00F23173">
              <w:t xml:space="preserve"> </w:t>
            </w:r>
            <w:r w:rsidR="00F23173" w:rsidRPr="00F23173">
              <w:rPr>
                <w:rFonts w:ascii="Calibri" w:hAnsi="Calibri" w:cs="Calibri"/>
                <w:bCs/>
                <w:spacing w:val="-4"/>
              </w:rPr>
              <w:t>La red vial pública será definida en los Instrumentos de Planificación Territorial correspondientes, fijando el trazado de las vías y su ancho, medido entre líneas oficiales, lo que se graficará en el plano respectivo.</w:t>
            </w:r>
          </w:p>
          <w:p w14:paraId="73090B19" w14:textId="77777777" w:rsidR="00E10058" w:rsidRDefault="00F23173" w:rsidP="00F23173">
            <w:pPr>
              <w:spacing w:before="120" w:after="120"/>
              <w:ind w:left="176" w:right="132"/>
              <w:jc w:val="both"/>
              <w:rPr>
                <w:rFonts w:ascii="Calibri" w:hAnsi="Calibri" w:cs="Calibri"/>
                <w:bCs/>
                <w:spacing w:val="-4"/>
              </w:rPr>
            </w:pPr>
            <w:r w:rsidRPr="00F23173">
              <w:rPr>
                <w:rFonts w:ascii="Calibri" w:hAnsi="Calibri" w:cs="Calibri"/>
                <w:bCs/>
                <w:spacing w:val="-4"/>
              </w:rPr>
              <w:t xml:space="preserve">    </w:t>
            </w:r>
          </w:p>
          <w:p w14:paraId="1F445957" w14:textId="77777777" w:rsidR="00E10058" w:rsidRDefault="00E10058" w:rsidP="00F23173">
            <w:pPr>
              <w:spacing w:before="120" w:after="120"/>
              <w:ind w:left="176" w:right="132"/>
              <w:jc w:val="both"/>
              <w:rPr>
                <w:rFonts w:ascii="Calibri" w:hAnsi="Calibri" w:cs="Calibri"/>
                <w:bCs/>
                <w:spacing w:val="-4"/>
              </w:rPr>
            </w:pPr>
          </w:p>
          <w:p w14:paraId="30D90A27" w14:textId="77777777" w:rsidR="00E10058" w:rsidRDefault="00E10058" w:rsidP="00F23173">
            <w:pPr>
              <w:spacing w:before="120" w:after="120"/>
              <w:ind w:left="176" w:right="132"/>
              <w:jc w:val="both"/>
              <w:rPr>
                <w:rFonts w:ascii="Calibri" w:hAnsi="Calibri" w:cs="Calibri"/>
                <w:bCs/>
                <w:spacing w:val="-4"/>
              </w:rPr>
            </w:pPr>
          </w:p>
          <w:p w14:paraId="42AD124E" w14:textId="77777777" w:rsidR="00E10058" w:rsidRDefault="00E10058" w:rsidP="00F23173">
            <w:pPr>
              <w:spacing w:before="120" w:after="120"/>
              <w:ind w:left="176" w:right="132"/>
              <w:jc w:val="both"/>
              <w:rPr>
                <w:rFonts w:ascii="Calibri" w:hAnsi="Calibri" w:cs="Calibri"/>
                <w:bCs/>
                <w:spacing w:val="-4"/>
              </w:rPr>
            </w:pPr>
          </w:p>
          <w:p w14:paraId="26CEE6B3" w14:textId="77777777" w:rsidR="00E10058" w:rsidRDefault="00E10058" w:rsidP="00F23173">
            <w:pPr>
              <w:spacing w:before="120" w:after="120"/>
              <w:ind w:left="176" w:right="132"/>
              <w:jc w:val="both"/>
              <w:rPr>
                <w:rFonts w:ascii="Calibri" w:hAnsi="Calibri" w:cs="Calibri"/>
                <w:bCs/>
                <w:spacing w:val="-4"/>
              </w:rPr>
            </w:pPr>
          </w:p>
          <w:p w14:paraId="2DF00D5E" w14:textId="77777777" w:rsidR="00E10058" w:rsidRDefault="00E10058" w:rsidP="00F23173">
            <w:pPr>
              <w:spacing w:before="120" w:after="120"/>
              <w:ind w:left="176" w:right="132"/>
              <w:jc w:val="both"/>
              <w:rPr>
                <w:rFonts w:ascii="Calibri" w:hAnsi="Calibri" w:cs="Calibri"/>
                <w:bCs/>
                <w:spacing w:val="-4"/>
              </w:rPr>
            </w:pPr>
          </w:p>
          <w:p w14:paraId="7436F6BB" w14:textId="77777777" w:rsidR="00CA2740" w:rsidRDefault="00CA2740" w:rsidP="00F23173">
            <w:pPr>
              <w:spacing w:before="120" w:after="120"/>
              <w:ind w:left="176" w:right="132"/>
              <w:jc w:val="both"/>
              <w:rPr>
                <w:rFonts w:ascii="Calibri" w:hAnsi="Calibri" w:cs="Calibri"/>
                <w:bCs/>
                <w:spacing w:val="-4"/>
              </w:rPr>
            </w:pPr>
          </w:p>
          <w:p w14:paraId="6B5213AA" w14:textId="77777777" w:rsidR="00CA2740" w:rsidRDefault="00CA2740" w:rsidP="00F23173">
            <w:pPr>
              <w:spacing w:before="120" w:after="120"/>
              <w:ind w:left="176" w:right="132"/>
              <w:jc w:val="both"/>
              <w:rPr>
                <w:rFonts w:ascii="Calibri" w:hAnsi="Calibri" w:cs="Calibri"/>
                <w:bCs/>
                <w:spacing w:val="-4"/>
              </w:rPr>
            </w:pPr>
          </w:p>
          <w:p w14:paraId="195009A2" w14:textId="77777777" w:rsidR="00940BE6" w:rsidRPr="0033652D" w:rsidRDefault="00940BE6" w:rsidP="00940BE6">
            <w:pPr>
              <w:spacing w:before="120" w:after="120"/>
              <w:ind w:right="132"/>
              <w:jc w:val="both"/>
              <w:rPr>
                <w:rFonts w:ascii="Calibri" w:hAnsi="Calibri" w:cs="Calibri"/>
                <w:bCs/>
                <w:spacing w:val="-4"/>
                <w:sz w:val="40"/>
                <w:szCs w:val="40"/>
              </w:rPr>
            </w:pPr>
          </w:p>
          <w:p w14:paraId="7D0E07D1" w14:textId="73A4EE1F" w:rsidR="00F23173" w:rsidRPr="00F23173" w:rsidRDefault="00F23173" w:rsidP="00940BE6">
            <w:pPr>
              <w:spacing w:before="120" w:after="120"/>
              <w:ind w:right="132"/>
              <w:jc w:val="both"/>
              <w:rPr>
                <w:rFonts w:ascii="Calibri" w:hAnsi="Calibri" w:cs="Calibri"/>
                <w:bCs/>
                <w:spacing w:val="-4"/>
              </w:rPr>
            </w:pPr>
            <w:r w:rsidRPr="00F23173">
              <w:rPr>
                <w:rFonts w:ascii="Calibri" w:hAnsi="Calibri" w:cs="Calibri"/>
                <w:bCs/>
                <w:spacing w:val="-4"/>
              </w:rPr>
              <w:t>Para los fines previstos en el inciso anterior, los citados instrumentos definirán las vías conforme a la clasificación y a los criterios que disponen los artículos 2.3.2. y 2.3.3. de este mismo Capítulo, pudiendo asimilar las vías existentes a las clases señaladas en dichos artículos aun cuando éstas no cumplan los anchos mínimos o las condiciones y características allí establecidos.</w:t>
            </w:r>
          </w:p>
          <w:p w14:paraId="1E4EE7D8" w14:textId="77777777" w:rsidR="00F23173" w:rsidRPr="00F23173" w:rsidRDefault="00F23173" w:rsidP="00F23173">
            <w:pPr>
              <w:spacing w:before="120" w:after="120"/>
              <w:ind w:left="176" w:right="132"/>
              <w:jc w:val="both"/>
              <w:rPr>
                <w:rFonts w:ascii="Calibri" w:hAnsi="Calibri" w:cs="Calibri"/>
                <w:bCs/>
                <w:spacing w:val="-4"/>
              </w:rPr>
            </w:pPr>
            <w:r w:rsidRPr="00F23173">
              <w:rPr>
                <w:rFonts w:ascii="Calibri" w:hAnsi="Calibri" w:cs="Calibri"/>
                <w:bCs/>
                <w:spacing w:val="-4"/>
              </w:rPr>
              <w:t xml:space="preserve">    En cada caso, los Planes Reguladores Comunales o Seccionales deberán considerar, además de las disposiciones técnicas propias de la ingeniería de tránsito, los conceptos urbanísticos que guían el desarrollo de los distintos sectores de las comunas y sus barrios, las características de las actividades </w:t>
            </w:r>
            <w:r w:rsidRPr="00F23173">
              <w:rPr>
                <w:rFonts w:ascii="Calibri" w:hAnsi="Calibri" w:cs="Calibri"/>
                <w:bCs/>
                <w:spacing w:val="-4"/>
              </w:rPr>
              <w:lastRenderedPageBreak/>
              <w:t>urbanas que se emplazan en los bordes de las vías y la dotación de infraestructura prevista.</w:t>
            </w:r>
          </w:p>
          <w:p w14:paraId="54211A51" w14:textId="77777777" w:rsidR="00F23173" w:rsidRPr="00F23173" w:rsidRDefault="00F23173" w:rsidP="00F23173">
            <w:pPr>
              <w:spacing w:before="120" w:after="120"/>
              <w:ind w:left="176" w:right="132"/>
              <w:jc w:val="both"/>
              <w:rPr>
                <w:rFonts w:ascii="Calibri" w:hAnsi="Calibri" w:cs="Calibri"/>
                <w:bCs/>
                <w:spacing w:val="-4"/>
              </w:rPr>
            </w:pPr>
            <w:r w:rsidRPr="00F23173">
              <w:rPr>
                <w:rFonts w:ascii="Calibri" w:hAnsi="Calibri" w:cs="Calibri"/>
                <w:bCs/>
                <w:spacing w:val="-4"/>
              </w:rPr>
              <w:t xml:space="preserve">    Para efectos de la aplicación del artículo 2.1.36. de esta Ordenanza, en los casos en que el Plan Regulador no haya clasificado la totalidad de la red vial pública, se aplicarán supletoriamente los criterios que se establecen en el artículo 2.3.2. en lo relativo a anchos mínimos de sus calzadas pavimentadas y distancia entre líneas oficiales. Dicha información deberá ser consignada en el Certificado de Informaciones Previas.</w:t>
            </w:r>
          </w:p>
          <w:p w14:paraId="059D6CA2" w14:textId="5777653B" w:rsidR="00F23173" w:rsidRPr="00531483" w:rsidRDefault="00F23173" w:rsidP="00531483">
            <w:pPr>
              <w:spacing w:before="120" w:after="120"/>
              <w:ind w:left="176" w:right="132"/>
              <w:jc w:val="both"/>
              <w:rPr>
                <w:rFonts w:ascii="Calibri" w:hAnsi="Calibri" w:cs="Calibri"/>
                <w:bCs/>
              </w:rPr>
            </w:pPr>
            <w:r w:rsidRPr="00F23173">
              <w:rPr>
                <w:rFonts w:ascii="Calibri" w:hAnsi="Calibri" w:cs="Calibri"/>
                <w:bCs/>
                <w:spacing w:val="-4"/>
              </w:rPr>
              <w:t xml:space="preserve">    De conformidad al artículo 59 de la Ley General de Urbanismo y Construcciones, sólo se considerarán franjas afectas a utilidad pública los terrenos definidos como vías en la Ordenanza del Plan Regulador Comunal o Intercomunal, y graficados en sus respectivos planos.</w:t>
            </w:r>
          </w:p>
        </w:tc>
        <w:tc>
          <w:tcPr>
            <w:tcW w:w="8364" w:type="dxa"/>
          </w:tcPr>
          <w:p w14:paraId="6269279A" w14:textId="1EA8745C" w:rsidR="00AC4E0F" w:rsidRDefault="00617EB8" w:rsidP="00787697">
            <w:pPr>
              <w:spacing w:before="120" w:after="120"/>
              <w:ind w:left="78" w:right="92"/>
              <w:jc w:val="both"/>
              <w:rPr>
                <w:rFonts w:ascii="Calibri" w:hAnsi="Calibri" w:cs="Calibri"/>
                <w:bCs/>
              </w:rPr>
            </w:pPr>
            <w:r w:rsidRPr="00787697">
              <w:rPr>
                <w:rFonts w:ascii="Calibri" w:hAnsi="Calibri" w:cs="Calibri"/>
                <w:b/>
                <w:spacing w:val="-4"/>
              </w:rPr>
              <w:lastRenderedPageBreak/>
              <w:t xml:space="preserve">Artículo 2.3.1. </w:t>
            </w:r>
            <w:r w:rsidRPr="00787697">
              <w:rPr>
                <w:rFonts w:ascii="Calibri" w:hAnsi="Calibri" w:cs="Calibri"/>
                <w:bCs/>
                <w:spacing w:val="-4"/>
              </w:rPr>
              <w:t xml:space="preserve">La </w:t>
            </w:r>
            <w:r w:rsidR="00B5097D" w:rsidRPr="00B5097D">
              <w:rPr>
                <w:rFonts w:ascii="Calibri" w:hAnsi="Calibri" w:cs="Calibri"/>
                <w:bCs/>
                <w:spacing w:val="-4"/>
                <w:highlight w:val="yellow"/>
              </w:rPr>
              <w:t>trama o</w:t>
            </w:r>
            <w:r w:rsidR="00B5097D">
              <w:rPr>
                <w:rFonts w:ascii="Calibri" w:hAnsi="Calibri" w:cs="Calibri"/>
                <w:bCs/>
                <w:spacing w:val="-4"/>
              </w:rPr>
              <w:t xml:space="preserve"> </w:t>
            </w:r>
            <w:r w:rsidR="00212DFA">
              <w:rPr>
                <w:rFonts w:ascii="Calibri" w:hAnsi="Calibri" w:cs="Calibri"/>
                <w:bCs/>
                <w:spacing w:val="-4"/>
              </w:rPr>
              <w:t>red</w:t>
            </w:r>
            <w:r w:rsidRPr="00787697">
              <w:rPr>
                <w:rFonts w:ascii="Calibri" w:hAnsi="Calibri" w:cs="Calibri"/>
                <w:bCs/>
                <w:color w:val="0070C0"/>
                <w:spacing w:val="-4"/>
              </w:rPr>
              <w:t xml:space="preserve"> </w:t>
            </w:r>
            <w:r w:rsidRPr="00787697">
              <w:rPr>
                <w:rFonts w:ascii="Calibri" w:hAnsi="Calibri" w:cs="Calibri"/>
                <w:bCs/>
                <w:spacing w:val="-4"/>
              </w:rPr>
              <w:t>vial</w:t>
            </w:r>
            <w:r w:rsidRPr="00F040D4">
              <w:rPr>
                <w:rFonts w:ascii="Calibri" w:hAnsi="Calibri" w:cs="Calibri"/>
                <w:bCs/>
                <w:spacing w:val="-4"/>
              </w:rPr>
              <w:t xml:space="preserve"> </w:t>
            </w:r>
            <w:r w:rsidR="00483D80" w:rsidRPr="00F040D4">
              <w:rPr>
                <w:rFonts w:ascii="Calibri" w:hAnsi="Calibri" w:cs="Calibri"/>
                <w:bCs/>
                <w:spacing w:val="-4"/>
              </w:rPr>
              <w:t>pública</w:t>
            </w:r>
            <w:r w:rsidR="00483D80" w:rsidRPr="0033652D">
              <w:rPr>
                <w:rFonts w:ascii="Calibri" w:hAnsi="Calibri" w:cs="Calibri"/>
                <w:bCs/>
                <w:spacing w:val="-4"/>
              </w:rPr>
              <w:t xml:space="preserve"> </w:t>
            </w:r>
            <w:r w:rsidRPr="00483D80">
              <w:rPr>
                <w:rFonts w:ascii="Calibri" w:hAnsi="Calibri" w:cs="Calibri"/>
                <w:bCs/>
                <w:spacing w:val="-4"/>
                <w:highlight w:val="yellow"/>
              </w:rPr>
              <w:t>estará conformada por un conjunto de vías</w:t>
            </w:r>
            <w:r w:rsidR="001012BF" w:rsidRPr="00483D80">
              <w:rPr>
                <w:rFonts w:ascii="Calibri" w:hAnsi="Calibri" w:cs="Calibri"/>
                <w:bCs/>
                <w:spacing w:val="-4"/>
                <w:highlight w:val="yellow"/>
              </w:rPr>
              <w:t xml:space="preserve"> existentes o proyectadas </w:t>
            </w:r>
            <w:r w:rsidRPr="00483D80">
              <w:rPr>
                <w:rFonts w:ascii="Calibri" w:hAnsi="Calibri" w:cs="Calibri"/>
                <w:bCs/>
                <w:spacing w:val="-4"/>
                <w:highlight w:val="yellow"/>
              </w:rPr>
              <w:t>destinadas al uso público</w:t>
            </w:r>
            <w:r w:rsidR="00B663D2">
              <w:rPr>
                <w:rFonts w:ascii="Calibri" w:hAnsi="Calibri" w:cs="Calibri"/>
                <w:bCs/>
                <w:spacing w:val="-4"/>
                <w:highlight w:val="yellow"/>
              </w:rPr>
              <w:t xml:space="preserve"> que </w:t>
            </w:r>
            <w:r w:rsidR="001A29A0">
              <w:rPr>
                <w:rFonts w:ascii="Calibri" w:hAnsi="Calibri" w:cs="Calibri"/>
                <w:bCs/>
                <w:spacing w:val="-4"/>
                <w:highlight w:val="yellow"/>
              </w:rPr>
              <w:t xml:space="preserve">se </w:t>
            </w:r>
            <w:r w:rsidR="00A77B35">
              <w:rPr>
                <w:rFonts w:ascii="Calibri" w:hAnsi="Calibri" w:cs="Calibri"/>
                <w:bCs/>
                <w:spacing w:val="-4"/>
                <w:highlight w:val="yellow"/>
              </w:rPr>
              <w:t>intersecan</w:t>
            </w:r>
            <w:r w:rsidR="00E236B3">
              <w:rPr>
                <w:rFonts w:ascii="Calibri" w:hAnsi="Calibri" w:cs="Calibri"/>
                <w:bCs/>
                <w:spacing w:val="-4"/>
                <w:highlight w:val="yellow"/>
              </w:rPr>
              <w:t xml:space="preserve"> </w:t>
            </w:r>
            <w:r w:rsidR="003C33DE">
              <w:rPr>
                <w:rFonts w:ascii="Calibri" w:hAnsi="Calibri" w:cs="Calibri"/>
                <w:bCs/>
                <w:spacing w:val="-4"/>
                <w:highlight w:val="yellow"/>
              </w:rPr>
              <w:t xml:space="preserve">entre </w:t>
            </w:r>
            <w:r w:rsidR="00E236B3">
              <w:rPr>
                <w:rFonts w:ascii="Calibri" w:hAnsi="Calibri" w:cs="Calibri"/>
                <w:bCs/>
                <w:spacing w:val="-4"/>
                <w:highlight w:val="yellow"/>
              </w:rPr>
              <w:t>sí</w:t>
            </w:r>
            <w:r w:rsidRPr="00483D80">
              <w:rPr>
                <w:rFonts w:ascii="Calibri" w:hAnsi="Calibri" w:cs="Calibri"/>
                <w:bCs/>
                <w:spacing w:val="-4"/>
                <w:highlight w:val="yellow"/>
              </w:rPr>
              <w:t xml:space="preserve"> formando una red.</w:t>
            </w:r>
            <w:r>
              <w:rPr>
                <w:rFonts w:ascii="Calibri" w:hAnsi="Calibri" w:cs="Calibri"/>
                <w:bCs/>
                <w:spacing w:val="-4"/>
              </w:rPr>
              <w:t xml:space="preserve"> S</w:t>
            </w:r>
            <w:r w:rsidRPr="00787697">
              <w:rPr>
                <w:rFonts w:ascii="Calibri" w:hAnsi="Calibri" w:cs="Calibri"/>
                <w:bCs/>
                <w:spacing w:val="-4"/>
              </w:rPr>
              <w:t xml:space="preserve">erá definida en los Instrumentos de </w:t>
            </w:r>
            <w:r w:rsidRPr="00787697">
              <w:rPr>
                <w:rFonts w:ascii="Calibri" w:hAnsi="Calibri" w:cs="Calibri"/>
                <w:bCs/>
                <w:spacing w:val="-2"/>
              </w:rPr>
              <w:t xml:space="preserve">Planificación Territorial correspondientes, fijando el trazado de las vías y </w:t>
            </w:r>
            <w:r w:rsidRPr="00787697">
              <w:rPr>
                <w:rFonts w:ascii="Calibri" w:hAnsi="Calibri" w:cs="Calibri"/>
                <w:bCs/>
                <w:spacing w:val="-4"/>
              </w:rPr>
              <w:t>su ancho, medido entre líneas oficiales, lo que se graficará en el plano respectivo</w:t>
            </w:r>
            <w:r w:rsidRPr="003704CD">
              <w:rPr>
                <w:rFonts w:ascii="Calibri" w:hAnsi="Calibri" w:cs="Calibri"/>
                <w:bCs/>
              </w:rPr>
              <w:t>.</w:t>
            </w:r>
          </w:p>
          <w:p w14:paraId="5C179C22" w14:textId="77777777" w:rsidR="00D67907" w:rsidRDefault="001544B3" w:rsidP="003A03B8">
            <w:pPr>
              <w:spacing w:before="120" w:after="120"/>
              <w:ind w:left="78" w:right="92"/>
              <w:jc w:val="both"/>
              <w:rPr>
                <w:highlight w:val="yellow"/>
              </w:rPr>
            </w:pPr>
            <w:r w:rsidRPr="00E10058">
              <w:rPr>
                <w:highlight w:val="yellow"/>
              </w:rPr>
              <w:t xml:space="preserve">La referida </w:t>
            </w:r>
            <w:r w:rsidR="002E6D93">
              <w:rPr>
                <w:highlight w:val="yellow"/>
              </w:rPr>
              <w:t>red</w:t>
            </w:r>
            <w:r w:rsidR="002E6D93" w:rsidRPr="00E10058">
              <w:rPr>
                <w:highlight w:val="yellow"/>
              </w:rPr>
              <w:t xml:space="preserve"> </w:t>
            </w:r>
            <w:r w:rsidRPr="00E10058">
              <w:rPr>
                <w:highlight w:val="yellow"/>
              </w:rPr>
              <w:t>vial deberá garantizar la continuidad del espacio público y la conectividad con la vialidad del sector o su entorno inmediato</w:t>
            </w:r>
            <w:r w:rsidR="00054007" w:rsidRPr="00E10058">
              <w:rPr>
                <w:highlight w:val="yellow"/>
              </w:rPr>
              <w:t xml:space="preserve">. </w:t>
            </w:r>
          </w:p>
          <w:p w14:paraId="76867AB3" w14:textId="7D0B748B" w:rsidR="00C93351" w:rsidRPr="00CA2740" w:rsidRDefault="00054007" w:rsidP="00EB46CD">
            <w:pPr>
              <w:spacing w:before="120" w:after="120"/>
              <w:ind w:left="91" w:right="92"/>
              <w:jc w:val="both"/>
            </w:pPr>
            <w:r w:rsidRPr="00E10058">
              <w:rPr>
                <w:highlight w:val="yellow"/>
              </w:rPr>
              <w:t>Para dicho objeto, e</w:t>
            </w:r>
            <w:r w:rsidR="001012BF" w:rsidRPr="00E10058">
              <w:rPr>
                <w:highlight w:val="yellow"/>
              </w:rPr>
              <w:t xml:space="preserve">n la elaboración o modificación de </w:t>
            </w:r>
            <w:r w:rsidR="00780A42" w:rsidRPr="00E10058">
              <w:rPr>
                <w:highlight w:val="yellow"/>
              </w:rPr>
              <w:t>los planes reguladores comunales y planes seccionales</w:t>
            </w:r>
            <w:r w:rsidR="000F39CA" w:rsidRPr="00E10058">
              <w:rPr>
                <w:highlight w:val="yellow"/>
              </w:rPr>
              <w:t xml:space="preserve">, la trama vial </w:t>
            </w:r>
            <w:r w:rsidR="001012BF" w:rsidRPr="00E10058">
              <w:rPr>
                <w:highlight w:val="yellow"/>
              </w:rPr>
              <w:t>deberá incorporar circulaciones</w:t>
            </w:r>
            <w:r w:rsidR="00780A42" w:rsidRPr="00E10058">
              <w:rPr>
                <w:highlight w:val="yellow"/>
              </w:rPr>
              <w:t xml:space="preserve"> </w:t>
            </w:r>
            <w:r w:rsidR="001012BF" w:rsidRPr="00E10058">
              <w:rPr>
                <w:highlight w:val="yellow"/>
              </w:rPr>
              <w:t xml:space="preserve">destinadas al uso público cuyas intersecciones no </w:t>
            </w:r>
            <w:r w:rsidR="00AD2B11">
              <w:rPr>
                <w:highlight w:val="yellow"/>
              </w:rPr>
              <w:t xml:space="preserve">disten entre sí, en más </w:t>
            </w:r>
            <w:r w:rsidR="001012BF" w:rsidRPr="00E10058">
              <w:rPr>
                <w:highlight w:val="yellow"/>
              </w:rPr>
              <w:t xml:space="preserve">de 200 metros lineales, </w:t>
            </w:r>
            <w:r w:rsidR="00CA7E70">
              <w:rPr>
                <w:highlight w:val="yellow"/>
              </w:rPr>
              <w:t xml:space="preserve">medidos en cada una de las cuadras que definan, y </w:t>
            </w:r>
            <w:r w:rsidR="001012BF" w:rsidRPr="00E10058">
              <w:rPr>
                <w:highlight w:val="yellow"/>
              </w:rPr>
              <w:t xml:space="preserve">sin perjuicio de las excepciones consideradas en el siguiente artículo. </w:t>
            </w:r>
            <w:r w:rsidR="00D13855" w:rsidRPr="006F6EE8">
              <w:rPr>
                <w:highlight w:val="yellow"/>
              </w:rPr>
              <w:t xml:space="preserve">En el caso de </w:t>
            </w:r>
            <w:r w:rsidR="00274A73" w:rsidRPr="006F6EE8">
              <w:rPr>
                <w:highlight w:val="yellow"/>
              </w:rPr>
              <w:t xml:space="preserve">una </w:t>
            </w:r>
            <w:r w:rsidR="00D13855" w:rsidRPr="006F6EE8">
              <w:rPr>
                <w:highlight w:val="yellow"/>
              </w:rPr>
              <w:t xml:space="preserve">modificación de planes </w:t>
            </w:r>
            <w:r w:rsidR="00274A73" w:rsidRPr="006F6EE8">
              <w:rPr>
                <w:highlight w:val="yellow"/>
              </w:rPr>
              <w:t>reguladores</w:t>
            </w:r>
            <w:r w:rsidR="00D13855" w:rsidRPr="006F6EE8">
              <w:rPr>
                <w:highlight w:val="yellow"/>
              </w:rPr>
              <w:t xml:space="preserve"> comunales o planes seccionales est</w:t>
            </w:r>
            <w:r w:rsidR="00274A73" w:rsidRPr="006F6EE8">
              <w:rPr>
                <w:highlight w:val="yellow"/>
              </w:rPr>
              <w:t>a</w:t>
            </w:r>
            <w:r w:rsidR="00D13855" w:rsidRPr="006F6EE8">
              <w:rPr>
                <w:highlight w:val="yellow"/>
              </w:rPr>
              <w:t xml:space="preserve"> obligación deberá cumplirse </w:t>
            </w:r>
            <w:r w:rsidR="003E5609" w:rsidRPr="006F6EE8">
              <w:rPr>
                <w:highlight w:val="yellow"/>
              </w:rPr>
              <w:t xml:space="preserve">únicamente </w:t>
            </w:r>
            <w:r w:rsidR="006F6EE8" w:rsidRPr="006F6EE8">
              <w:rPr>
                <w:highlight w:val="yellow"/>
              </w:rPr>
              <w:t>en caso de que</w:t>
            </w:r>
            <w:r w:rsidR="00D13855" w:rsidRPr="006F6EE8">
              <w:rPr>
                <w:highlight w:val="yellow"/>
              </w:rPr>
              <w:t xml:space="preserve"> involucre cambios en la trama vial</w:t>
            </w:r>
            <w:r w:rsidR="006F6EE8" w:rsidRPr="003A03B8">
              <w:rPr>
                <w:highlight w:val="yellow"/>
              </w:rPr>
              <w:t>.</w:t>
            </w:r>
            <w:r w:rsidR="003A03B8" w:rsidRPr="003A03B8">
              <w:rPr>
                <w:highlight w:val="yellow"/>
              </w:rPr>
              <w:t xml:space="preserve"> </w:t>
            </w:r>
            <w:r w:rsidR="00C93351" w:rsidRPr="003A03B8">
              <w:rPr>
                <w:highlight w:val="yellow"/>
              </w:rPr>
              <w:t xml:space="preserve">En aquellas manzanas en las que una o más de sus cuadras excedan los 200 metros, se entenderá cumplida la obligación referida en </w:t>
            </w:r>
            <w:r w:rsidR="00CE45AB">
              <w:rPr>
                <w:highlight w:val="yellow"/>
              </w:rPr>
              <w:t>el</w:t>
            </w:r>
            <w:r w:rsidR="00CE45AB" w:rsidRPr="003A03B8">
              <w:rPr>
                <w:highlight w:val="yellow"/>
              </w:rPr>
              <w:t xml:space="preserve"> </w:t>
            </w:r>
            <w:r w:rsidR="00C93351" w:rsidRPr="003A03B8">
              <w:rPr>
                <w:highlight w:val="yellow"/>
              </w:rPr>
              <w:t xml:space="preserve">inciso </w:t>
            </w:r>
            <w:r w:rsidR="00CE45AB">
              <w:rPr>
                <w:highlight w:val="yellow"/>
              </w:rPr>
              <w:t xml:space="preserve">anterior </w:t>
            </w:r>
            <w:r w:rsidR="00C93351" w:rsidRPr="003A03B8">
              <w:rPr>
                <w:highlight w:val="yellow"/>
              </w:rPr>
              <w:t>si el perímetro de dichas manzanas</w:t>
            </w:r>
            <w:r w:rsidR="00CE45AB">
              <w:rPr>
                <w:highlight w:val="yellow"/>
              </w:rPr>
              <w:t xml:space="preserve"> </w:t>
            </w:r>
            <w:r w:rsidR="00C93351" w:rsidRPr="003A03B8">
              <w:rPr>
                <w:highlight w:val="yellow"/>
              </w:rPr>
              <w:t>tiene una extensión igual o inferior a 800 metros.</w:t>
            </w:r>
          </w:p>
          <w:p w14:paraId="0A871320" w14:textId="05266CA0" w:rsidR="00CA2740" w:rsidRPr="00F23173" w:rsidRDefault="00CA2740" w:rsidP="00CA2740">
            <w:pPr>
              <w:spacing w:before="120" w:after="120"/>
              <w:ind w:left="176" w:right="132"/>
              <w:jc w:val="both"/>
              <w:rPr>
                <w:rFonts w:ascii="Calibri" w:hAnsi="Calibri" w:cs="Calibri"/>
                <w:bCs/>
                <w:spacing w:val="-4"/>
              </w:rPr>
            </w:pPr>
            <w:r w:rsidRPr="00F23173">
              <w:rPr>
                <w:rFonts w:ascii="Calibri" w:hAnsi="Calibri" w:cs="Calibri"/>
                <w:bCs/>
                <w:spacing w:val="-4"/>
              </w:rPr>
              <w:t>Para los fines previstos</w:t>
            </w:r>
            <w:r w:rsidR="000A7CD3">
              <w:rPr>
                <w:rFonts w:ascii="Calibri" w:hAnsi="Calibri" w:cs="Calibri"/>
                <w:bCs/>
                <w:spacing w:val="-4"/>
              </w:rPr>
              <w:t xml:space="preserve"> </w:t>
            </w:r>
            <w:r w:rsidR="000A7CD3" w:rsidRPr="000A7CD3">
              <w:rPr>
                <w:rFonts w:ascii="Calibri" w:hAnsi="Calibri" w:cs="Calibri"/>
                <w:bCs/>
                <w:spacing w:val="-4"/>
                <w:highlight w:val="yellow"/>
              </w:rPr>
              <w:t>en los incisos anteriores</w:t>
            </w:r>
            <w:r w:rsidRPr="00F23173">
              <w:rPr>
                <w:rFonts w:ascii="Calibri" w:hAnsi="Calibri" w:cs="Calibri"/>
                <w:bCs/>
                <w:spacing w:val="-4"/>
              </w:rPr>
              <w:t xml:space="preserve">, los </w:t>
            </w:r>
            <w:r w:rsidRPr="00C206DB">
              <w:rPr>
                <w:rFonts w:ascii="Calibri" w:hAnsi="Calibri" w:cs="Calibri"/>
                <w:bCs/>
                <w:strike/>
                <w:spacing w:val="-4"/>
                <w:highlight w:val="yellow"/>
              </w:rPr>
              <w:t>citados</w:t>
            </w:r>
            <w:r w:rsidRPr="00F23173">
              <w:rPr>
                <w:rFonts w:ascii="Calibri" w:hAnsi="Calibri" w:cs="Calibri"/>
                <w:bCs/>
                <w:spacing w:val="-4"/>
              </w:rPr>
              <w:t xml:space="preserve"> instrumentos definirán las vías conforme a la clasificación y a los criterios que disponen los artículos 2.3.2. y 2.3.3. de este mismo Capítulo, pudiendo asimilar las vías existentes a las clases señaladas en dichos artículos aun cuando éstas no cumplan los anchos mínimos o las condiciones y características allí establecidos.</w:t>
            </w:r>
          </w:p>
          <w:p w14:paraId="7AF56A4B" w14:textId="08ED8F68" w:rsidR="00CA2740" w:rsidRPr="00F23173" w:rsidRDefault="00CA2740" w:rsidP="00CA2740">
            <w:pPr>
              <w:spacing w:before="120" w:after="120"/>
              <w:ind w:left="176" w:right="132"/>
              <w:jc w:val="both"/>
              <w:rPr>
                <w:rFonts w:ascii="Calibri" w:hAnsi="Calibri" w:cs="Calibri"/>
                <w:bCs/>
                <w:spacing w:val="-4"/>
              </w:rPr>
            </w:pPr>
            <w:r w:rsidRPr="00F23173">
              <w:rPr>
                <w:rFonts w:ascii="Calibri" w:hAnsi="Calibri" w:cs="Calibri"/>
                <w:bCs/>
                <w:spacing w:val="-4"/>
              </w:rPr>
              <w:t xml:space="preserve">    En cada caso, los Planes Reguladores Comunales o Seccionales deberán considerar, además de las disposiciones técnicas propias de la ingeniería </w:t>
            </w:r>
            <w:r w:rsidRPr="00940BE6">
              <w:rPr>
                <w:rFonts w:ascii="Calibri" w:hAnsi="Calibri" w:cs="Calibri"/>
                <w:bCs/>
                <w:strike/>
                <w:spacing w:val="-4"/>
                <w:highlight w:val="yellow"/>
              </w:rPr>
              <w:t>de tránsito,</w:t>
            </w:r>
            <w:r w:rsidRPr="00F23173">
              <w:rPr>
                <w:rFonts w:ascii="Calibri" w:hAnsi="Calibri" w:cs="Calibri"/>
                <w:bCs/>
                <w:spacing w:val="-4"/>
              </w:rPr>
              <w:t xml:space="preserve"> los conceptos urbanísticos que guían el desarrollo de los distintos sectores de las comunas y sus barrios, las </w:t>
            </w:r>
            <w:r w:rsidRPr="00F23173">
              <w:rPr>
                <w:rFonts w:ascii="Calibri" w:hAnsi="Calibri" w:cs="Calibri"/>
                <w:bCs/>
                <w:spacing w:val="-4"/>
              </w:rPr>
              <w:lastRenderedPageBreak/>
              <w:t>características de las actividades urbanas que se emplazan en los bordes de las vías y la dotación de infraestructura prevista.</w:t>
            </w:r>
          </w:p>
          <w:p w14:paraId="33FBBDE0" w14:textId="77777777" w:rsidR="00CA2740" w:rsidRPr="00F23173" w:rsidRDefault="00CA2740" w:rsidP="0057394A">
            <w:pPr>
              <w:spacing w:before="120" w:after="120"/>
              <w:ind w:left="176" w:right="130"/>
              <w:jc w:val="both"/>
              <w:rPr>
                <w:rFonts w:ascii="Calibri" w:hAnsi="Calibri" w:cs="Calibri"/>
                <w:bCs/>
                <w:spacing w:val="-4"/>
              </w:rPr>
            </w:pPr>
            <w:r w:rsidRPr="00F23173">
              <w:rPr>
                <w:rFonts w:ascii="Calibri" w:hAnsi="Calibri" w:cs="Calibri"/>
                <w:bCs/>
                <w:spacing w:val="-4"/>
              </w:rPr>
              <w:t xml:space="preserve">    Para efectos de la aplicación del artículo 2.1.36. de esta Ordenanza, en los casos en que el Plan Regulador no haya clasificado la totalidad de la red vial pública, se aplicarán supletoriamente los criterios que se establecen en el artículo 2.3.2. en lo relativo a anchos mínimos de sus calzadas pavimentadas y distancia entre líneas oficiales. Dicha información deberá ser consignada en el Certificado de Informaciones Previas.</w:t>
            </w:r>
          </w:p>
          <w:p w14:paraId="5BB01350" w14:textId="77777777" w:rsidR="00CA2740" w:rsidRPr="00F23173" w:rsidRDefault="00CA2740" w:rsidP="0057394A">
            <w:pPr>
              <w:spacing w:before="120" w:after="120"/>
              <w:ind w:left="176" w:right="130"/>
              <w:jc w:val="both"/>
              <w:rPr>
                <w:rFonts w:ascii="Calibri" w:hAnsi="Calibri" w:cs="Calibri"/>
                <w:bCs/>
              </w:rPr>
            </w:pPr>
            <w:r w:rsidRPr="00F23173">
              <w:rPr>
                <w:rFonts w:ascii="Calibri" w:hAnsi="Calibri" w:cs="Calibri"/>
                <w:bCs/>
                <w:spacing w:val="-4"/>
              </w:rPr>
              <w:t xml:space="preserve">    De conformidad al artículo 59 de la Ley General de Urbanismo y Construcciones, sólo se considerarán franjas afectas a utilidad pública los terrenos definidos como vías en la Ordenanza del Plan Regulador Comunal o Intercomunal, y graficados en sus respectivos planos.</w:t>
            </w:r>
          </w:p>
          <w:p w14:paraId="035D3F53" w14:textId="2872E558" w:rsidR="00CA2740" w:rsidRPr="003704CD" w:rsidRDefault="00CA2740" w:rsidP="00787697">
            <w:pPr>
              <w:spacing w:before="120" w:after="120"/>
              <w:ind w:left="78" w:right="92"/>
              <w:jc w:val="both"/>
              <w:rPr>
                <w:rFonts w:ascii="Calibri" w:hAnsi="Calibri" w:cs="Calibri"/>
              </w:rPr>
            </w:pPr>
          </w:p>
        </w:tc>
        <w:tc>
          <w:tcPr>
            <w:tcW w:w="5675" w:type="dxa"/>
            <w:vAlign w:val="center"/>
          </w:tcPr>
          <w:p w14:paraId="61AE1096" w14:textId="3FD2FAD1" w:rsidR="00780A42" w:rsidRPr="00CE634F" w:rsidRDefault="00780A42" w:rsidP="00CE634F">
            <w:pPr>
              <w:spacing w:before="120" w:after="120"/>
              <w:ind w:left="119" w:right="176"/>
              <w:jc w:val="both"/>
              <w:rPr>
                <w:rFonts w:ascii="Calibri" w:hAnsi="Calibri" w:cs="Calibri"/>
                <w:spacing w:val="-3"/>
                <w:sz w:val="20"/>
                <w:szCs w:val="20"/>
              </w:rPr>
            </w:pPr>
          </w:p>
        </w:tc>
      </w:tr>
      <w:tr w:rsidR="00AF6537" w:rsidRPr="00536FF3" w14:paraId="3264CAC3" w14:textId="77777777" w:rsidTr="00CE634F">
        <w:trPr>
          <w:trHeight w:val="290"/>
        </w:trPr>
        <w:tc>
          <w:tcPr>
            <w:tcW w:w="7366" w:type="dxa"/>
          </w:tcPr>
          <w:p w14:paraId="234D5E6E" w14:textId="0235F5FB" w:rsidR="00AF6537" w:rsidRPr="003704CD" w:rsidRDefault="00E74018" w:rsidP="007D0287">
            <w:pPr>
              <w:spacing w:before="120" w:after="120"/>
              <w:ind w:left="176" w:right="132"/>
              <w:jc w:val="both"/>
              <w:rPr>
                <w:rFonts w:ascii="Calibri" w:hAnsi="Calibri" w:cs="Calibri"/>
                <w:b/>
              </w:rPr>
            </w:pPr>
            <w:r w:rsidRPr="00E74018">
              <w:rPr>
                <w:rFonts w:ascii="Calibri" w:hAnsi="Calibri" w:cs="Calibri"/>
                <w:bCs/>
                <w:spacing w:val="-4"/>
              </w:rPr>
              <w:t>No existe</w:t>
            </w:r>
          </w:p>
        </w:tc>
        <w:tc>
          <w:tcPr>
            <w:tcW w:w="8364" w:type="dxa"/>
          </w:tcPr>
          <w:p w14:paraId="768E2015" w14:textId="0F9939FE" w:rsidR="00BA472E" w:rsidRDefault="00BA472E" w:rsidP="00787697">
            <w:pPr>
              <w:spacing w:before="120" w:after="120"/>
              <w:ind w:left="78" w:right="92"/>
              <w:jc w:val="both"/>
              <w:rPr>
                <w:rFonts w:ascii="Calibri" w:hAnsi="Calibri" w:cs="Calibri"/>
              </w:rPr>
            </w:pPr>
            <w:bookmarkStart w:id="0" w:name="_Hlk152628762"/>
            <w:r w:rsidRPr="00BA472E">
              <w:rPr>
                <w:rFonts w:ascii="Calibri" w:hAnsi="Calibri" w:cs="Calibri"/>
                <w:b/>
                <w:spacing w:val="-4"/>
                <w:highlight w:val="yellow"/>
              </w:rPr>
              <w:t>Artículo 2.3.1 bis</w:t>
            </w:r>
          </w:p>
          <w:p w14:paraId="29DAA669" w14:textId="1A737622" w:rsidR="009E362B" w:rsidRDefault="009E362B" w:rsidP="00787697">
            <w:pPr>
              <w:spacing w:before="120" w:after="120"/>
              <w:ind w:left="78" w:right="92"/>
              <w:jc w:val="both"/>
              <w:rPr>
                <w:rFonts w:ascii="Calibri" w:hAnsi="Calibri" w:cs="Calibri"/>
              </w:rPr>
            </w:pPr>
            <w:r w:rsidRPr="009D362F">
              <w:rPr>
                <w:rFonts w:ascii="Calibri" w:hAnsi="Calibri" w:cs="Calibri"/>
                <w:highlight w:val="yellow"/>
              </w:rPr>
              <w:t xml:space="preserve">Para efectos de lo dispuesto en el inciso segundo del artículo 2.3.1. de esta Ordenanza, </w:t>
            </w:r>
            <w:r w:rsidR="009E591C" w:rsidRPr="009D362F">
              <w:rPr>
                <w:rFonts w:ascii="Calibri" w:hAnsi="Calibri" w:cs="Calibri"/>
                <w:highlight w:val="yellow"/>
              </w:rPr>
              <w:t xml:space="preserve">las intersecciones de </w:t>
            </w:r>
            <w:r w:rsidR="006F3D85" w:rsidRPr="009D362F">
              <w:rPr>
                <w:rFonts w:ascii="Calibri" w:hAnsi="Calibri" w:cs="Calibri"/>
                <w:highlight w:val="yellow"/>
              </w:rPr>
              <w:t xml:space="preserve">las circulaciones que conforman la trama </w:t>
            </w:r>
            <w:r w:rsidR="00CE45AB">
              <w:rPr>
                <w:rFonts w:ascii="Calibri" w:hAnsi="Calibri" w:cs="Calibri"/>
                <w:highlight w:val="yellow"/>
              </w:rPr>
              <w:t xml:space="preserve">o red </w:t>
            </w:r>
            <w:r w:rsidR="006F3D85" w:rsidRPr="009D362F">
              <w:rPr>
                <w:rFonts w:ascii="Calibri" w:hAnsi="Calibri" w:cs="Calibri"/>
                <w:highlight w:val="yellow"/>
              </w:rPr>
              <w:t xml:space="preserve">vial pública podrán </w:t>
            </w:r>
            <w:r w:rsidR="00CA7E70">
              <w:rPr>
                <w:rFonts w:ascii="Calibri" w:hAnsi="Calibri" w:cs="Calibri"/>
                <w:highlight w:val="yellow"/>
              </w:rPr>
              <w:t>estar a más de</w:t>
            </w:r>
            <w:r w:rsidR="00CA7E70" w:rsidRPr="009D362F">
              <w:rPr>
                <w:rFonts w:ascii="Calibri" w:hAnsi="Calibri" w:cs="Calibri"/>
                <w:highlight w:val="yellow"/>
              </w:rPr>
              <w:t xml:space="preserve"> </w:t>
            </w:r>
            <w:r w:rsidR="006F3D85" w:rsidRPr="009D362F">
              <w:rPr>
                <w:rFonts w:ascii="Calibri" w:hAnsi="Calibri" w:cs="Calibri"/>
                <w:highlight w:val="yellow"/>
              </w:rPr>
              <w:t xml:space="preserve">los 200 </w:t>
            </w:r>
            <w:r w:rsidR="00594ACA">
              <w:rPr>
                <w:rFonts w:ascii="Calibri" w:hAnsi="Calibri" w:cs="Calibri"/>
                <w:highlight w:val="yellow"/>
              </w:rPr>
              <w:t xml:space="preserve">m </w:t>
            </w:r>
            <w:r w:rsidR="00CA7E70">
              <w:rPr>
                <w:rFonts w:ascii="Calibri" w:hAnsi="Calibri" w:cs="Calibri"/>
                <w:highlight w:val="yellow"/>
              </w:rPr>
              <w:t xml:space="preserve">entre sí, </w:t>
            </w:r>
            <w:r w:rsidR="008769BE" w:rsidRPr="009D362F">
              <w:rPr>
                <w:rFonts w:ascii="Calibri" w:hAnsi="Calibri" w:cs="Calibri"/>
                <w:highlight w:val="yellow"/>
              </w:rPr>
              <w:t>en los siguientes casos</w:t>
            </w:r>
            <w:r w:rsidR="009D362F" w:rsidRPr="009D362F">
              <w:rPr>
                <w:rFonts w:ascii="Calibri" w:hAnsi="Calibri" w:cs="Calibri"/>
                <w:highlight w:val="yellow"/>
              </w:rPr>
              <w:t>:</w:t>
            </w:r>
          </w:p>
          <w:p w14:paraId="1ADCED09" w14:textId="23BD18B3" w:rsidR="00F14E25" w:rsidRPr="001F2F5A" w:rsidRDefault="00C84765" w:rsidP="00507512">
            <w:pPr>
              <w:pStyle w:val="Prrafodelista"/>
              <w:numPr>
                <w:ilvl w:val="0"/>
                <w:numId w:val="13"/>
              </w:numPr>
              <w:spacing w:before="120" w:after="120"/>
              <w:ind w:right="92"/>
              <w:jc w:val="both"/>
              <w:rPr>
                <w:rFonts w:ascii="Calibri" w:hAnsi="Calibri" w:cs="Calibri"/>
                <w:highlight w:val="yellow"/>
              </w:rPr>
            </w:pPr>
            <w:r w:rsidRPr="001F2F5A">
              <w:rPr>
                <w:rFonts w:ascii="Calibri" w:hAnsi="Calibri" w:cs="Calibri"/>
                <w:highlight w:val="yellow"/>
              </w:rPr>
              <w:t xml:space="preserve">Cuando en el sector existan </w:t>
            </w:r>
            <w:r w:rsidR="00423FCF" w:rsidRPr="001F2F5A">
              <w:rPr>
                <w:rFonts w:ascii="Calibri" w:hAnsi="Calibri" w:cs="Calibri"/>
                <w:highlight w:val="yellow"/>
              </w:rPr>
              <w:t xml:space="preserve">plazas, parques y áreas verdes públicas </w:t>
            </w:r>
            <w:r w:rsidR="00D936A2" w:rsidRPr="001F2F5A">
              <w:rPr>
                <w:rFonts w:ascii="Calibri" w:hAnsi="Calibri" w:cs="Calibri"/>
                <w:highlight w:val="yellow"/>
              </w:rPr>
              <w:t>conforme al artículo 2.1.30. de la OGUC cuya continuidad deba ser garantizada.</w:t>
            </w:r>
          </w:p>
          <w:p w14:paraId="39BA892C" w14:textId="2AE0A08B" w:rsidR="009F34F2" w:rsidRPr="001F2F5A" w:rsidRDefault="00F46DDA" w:rsidP="00507512">
            <w:pPr>
              <w:pStyle w:val="Prrafodelista"/>
              <w:numPr>
                <w:ilvl w:val="0"/>
                <w:numId w:val="13"/>
              </w:numPr>
              <w:spacing w:before="120" w:after="120"/>
              <w:ind w:right="92"/>
              <w:jc w:val="both"/>
              <w:rPr>
                <w:rFonts w:ascii="Calibri" w:hAnsi="Calibri" w:cs="Calibri"/>
                <w:highlight w:val="yellow"/>
              </w:rPr>
            </w:pPr>
            <w:r w:rsidRPr="001F2F5A">
              <w:rPr>
                <w:rFonts w:ascii="Calibri" w:hAnsi="Calibri" w:cs="Calibri"/>
                <w:highlight w:val="yellow"/>
              </w:rPr>
              <w:t xml:space="preserve">Cuando se trate de sectores con terrenos </w:t>
            </w:r>
            <w:r w:rsidR="00F1004D" w:rsidRPr="001F2F5A">
              <w:rPr>
                <w:rFonts w:ascii="Calibri" w:hAnsi="Calibri" w:cs="Calibri"/>
                <w:highlight w:val="yellow"/>
              </w:rPr>
              <w:t xml:space="preserve">consultados </w:t>
            </w:r>
            <w:r w:rsidRPr="001F2F5A">
              <w:rPr>
                <w:rFonts w:ascii="Calibri" w:hAnsi="Calibri" w:cs="Calibri"/>
                <w:highlight w:val="yellow"/>
              </w:rPr>
              <w:t>en los planes reguladores</w:t>
            </w:r>
            <w:r w:rsidR="00650857" w:rsidRPr="001F2F5A">
              <w:rPr>
                <w:rFonts w:ascii="Calibri" w:hAnsi="Calibri" w:cs="Calibri"/>
                <w:highlight w:val="yellow"/>
              </w:rPr>
              <w:t xml:space="preserve"> comunales o seccionales </w:t>
            </w:r>
            <w:r w:rsidR="00F1004D" w:rsidRPr="001F2F5A">
              <w:rPr>
                <w:rFonts w:ascii="Calibri" w:hAnsi="Calibri" w:cs="Calibri"/>
                <w:highlight w:val="yellow"/>
              </w:rPr>
              <w:t>destinado</w:t>
            </w:r>
            <w:r w:rsidR="006E2E1C" w:rsidRPr="001F2F5A">
              <w:rPr>
                <w:rFonts w:ascii="Calibri" w:hAnsi="Calibri" w:cs="Calibri"/>
                <w:highlight w:val="yellow"/>
              </w:rPr>
              <w:t>s</w:t>
            </w:r>
            <w:r w:rsidR="00F1004D" w:rsidRPr="001F2F5A">
              <w:rPr>
                <w:rFonts w:ascii="Calibri" w:hAnsi="Calibri" w:cs="Calibri"/>
                <w:highlight w:val="yellow"/>
              </w:rPr>
              <w:t xml:space="preserve"> o que vayan a destinarse </w:t>
            </w:r>
            <w:r w:rsidR="00650857" w:rsidRPr="001F2F5A">
              <w:rPr>
                <w:rFonts w:ascii="Calibri" w:hAnsi="Calibri" w:cs="Calibri"/>
                <w:highlight w:val="yellow"/>
              </w:rPr>
              <w:t>a plazas y parques, incluidos sus ensanches, declarados de utilidad pública de acuerdo con el artículo 59 de la Ley General de Urbanismo y Construcciones</w:t>
            </w:r>
            <w:r w:rsidR="00E11D97" w:rsidRPr="001F2F5A">
              <w:rPr>
                <w:rFonts w:ascii="Calibri" w:hAnsi="Calibri" w:cs="Calibri"/>
                <w:highlight w:val="yellow"/>
              </w:rPr>
              <w:t>.</w:t>
            </w:r>
          </w:p>
          <w:p w14:paraId="6AAF9347" w14:textId="0D558E5D" w:rsidR="00E11D97" w:rsidRPr="001F2F5A" w:rsidRDefault="00E11D97" w:rsidP="00507512">
            <w:pPr>
              <w:pStyle w:val="Prrafodelista"/>
              <w:numPr>
                <w:ilvl w:val="0"/>
                <w:numId w:val="13"/>
              </w:numPr>
              <w:spacing w:before="120" w:after="120"/>
              <w:ind w:right="92"/>
              <w:jc w:val="both"/>
              <w:rPr>
                <w:rFonts w:ascii="Calibri" w:hAnsi="Calibri" w:cs="Calibri"/>
                <w:highlight w:val="yellow"/>
              </w:rPr>
            </w:pPr>
            <w:r w:rsidRPr="001F2F5A">
              <w:rPr>
                <w:rFonts w:ascii="Calibri" w:hAnsi="Calibri" w:cs="Calibri"/>
                <w:highlight w:val="yellow"/>
              </w:rPr>
              <w:t xml:space="preserve">Cuando se trate de sectores con </w:t>
            </w:r>
            <w:r w:rsidR="00342CE3" w:rsidRPr="001F2F5A">
              <w:rPr>
                <w:rFonts w:ascii="Calibri" w:hAnsi="Calibri" w:cs="Calibri"/>
                <w:highlight w:val="yellow"/>
              </w:rPr>
              <w:t>uso de suelo</w:t>
            </w:r>
            <w:r w:rsidR="00017A78" w:rsidRPr="001F2F5A">
              <w:rPr>
                <w:rFonts w:ascii="Calibri" w:hAnsi="Calibri" w:cs="Calibri"/>
                <w:highlight w:val="yellow"/>
              </w:rPr>
              <w:t xml:space="preserve"> exclusivo de</w:t>
            </w:r>
            <w:r w:rsidR="00342CE3" w:rsidRPr="001F2F5A">
              <w:rPr>
                <w:rFonts w:ascii="Calibri" w:hAnsi="Calibri" w:cs="Calibri"/>
                <w:highlight w:val="yellow"/>
              </w:rPr>
              <w:t xml:space="preserve"> área </w:t>
            </w:r>
            <w:r w:rsidR="00A628E4" w:rsidRPr="001F2F5A">
              <w:rPr>
                <w:rFonts w:ascii="Calibri" w:hAnsi="Calibri" w:cs="Calibri"/>
                <w:highlight w:val="yellow"/>
              </w:rPr>
              <w:t>verde o</w:t>
            </w:r>
            <w:r w:rsidR="006E2E1C" w:rsidRPr="001F2F5A">
              <w:rPr>
                <w:rFonts w:ascii="Calibri" w:hAnsi="Calibri" w:cs="Calibri"/>
                <w:highlight w:val="yellow"/>
              </w:rPr>
              <w:t xml:space="preserve"> que vayan a destinarse con ese uso, </w:t>
            </w:r>
            <w:r w:rsidR="00342CE3" w:rsidRPr="001F2F5A">
              <w:rPr>
                <w:rFonts w:ascii="Calibri" w:hAnsi="Calibri" w:cs="Calibri"/>
                <w:highlight w:val="yellow"/>
              </w:rPr>
              <w:t>conforme al artículo 2.1.31. de esta Ordenanza</w:t>
            </w:r>
            <w:r w:rsidR="0019763E" w:rsidRPr="001F2F5A">
              <w:rPr>
                <w:rFonts w:ascii="Calibri" w:hAnsi="Calibri" w:cs="Calibri"/>
                <w:highlight w:val="yellow"/>
              </w:rPr>
              <w:t>.</w:t>
            </w:r>
          </w:p>
          <w:p w14:paraId="7E4E761C" w14:textId="4DC6645B" w:rsidR="0019763E" w:rsidRPr="001F2F5A" w:rsidRDefault="00052A79" w:rsidP="00507512">
            <w:pPr>
              <w:pStyle w:val="Prrafodelista"/>
              <w:numPr>
                <w:ilvl w:val="0"/>
                <w:numId w:val="13"/>
              </w:numPr>
              <w:spacing w:before="120" w:after="120"/>
              <w:ind w:right="92"/>
              <w:jc w:val="both"/>
              <w:rPr>
                <w:rFonts w:ascii="Calibri" w:hAnsi="Calibri" w:cs="Calibri"/>
                <w:highlight w:val="yellow"/>
              </w:rPr>
            </w:pPr>
            <w:r w:rsidRPr="001F2F5A">
              <w:rPr>
                <w:rFonts w:ascii="Calibri" w:hAnsi="Calibri" w:cs="Calibri"/>
                <w:highlight w:val="yellow"/>
              </w:rPr>
              <w:t xml:space="preserve">Cuando se trate de sectores en que existan áreas de protección de recursos de </w:t>
            </w:r>
            <w:r w:rsidR="00642FF9" w:rsidRPr="001F2F5A">
              <w:rPr>
                <w:rFonts w:ascii="Calibri" w:hAnsi="Calibri" w:cs="Calibri"/>
                <w:highlight w:val="yellow"/>
              </w:rPr>
              <w:t>valor natural o patrimonial cultural</w:t>
            </w:r>
            <w:r w:rsidR="00B57169" w:rsidRPr="001F2F5A">
              <w:rPr>
                <w:rFonts w:ascii="Calibri" w:hAnsi="Calibri" w:cs="Calibri"/>
                <w:highlight w:val="yellow"/>
              </w:rPr>
              <w:t>, en cuyo caso la</w:t>
            </w:r>
            <w:r w:rsidR="000E48F5" w:rsidRPr="001F2F5A">
              <w:rPr>
                <w:rFonts w:ascii="Calibri" w:hAnsi="Calibri" w:cs="Calibri"/>
                <w:highlight w:val="yellow"/>
              </w:rPr>
              <w:t xml:space="preserve"> configuración de la </w:t>
            </w:r>
            <w:r w:rsidR="00227C94">
              <w:rPr>
                <w:rFonts w:ascii="Calibri" w:hAnsi="Calibri" w:cs="Calibri"/>
                <w:highlight w:val="yellow"/>
              </w:rPr>
              <w:t>red</w:t>
            </w:r>
            <w:r w:rsidR="00227C94" w:rsidRPr="001F2F5A">
              <w:rPr>
                <w:rFonts w:ascii="Calibri" w:hAnsi="Calibri" w:cs="Calibri"/>
                <w:highlight w:val="yellow"/>
              </w:rPr>
              <w:t xml:space="preserve"> </w:t>
            </w:r>
            <w:r w:rsidR="000E48F5" w:rsidRPr="001F2F5A">
              <w:rPr>
                <w:rFonts w:ascii="Calibri" w:hAnsi="Calibri" w:cs="Calibri"/>
                <w:highlight w:val="yellow"/>
              </w:rPr>
              <w:t>vial siempre deberá ser compatible con la protección oficialmente establecida para dichas áreas.</w:t>
            </w:r>
          </w:p>
          <w:p w14:paraId="1E167D11" w14:textId="07503369" w:rsidR="00507512" w:rsidRPr="001F2F5A" w:rsidRDefault="00227C94" w:rsidP="00507512">
            <w:pPr>
              <w:pStyle w:val="Prrafodelista"/>
              <w:numPr>
                <w:ilvl w:val="0"/>
                <w:numId w:val="13"/>
              </w:numPr>
              <w:jc w:val="both"/>
              <w:rPr>
                <w:highlight w:val="yellow"/>
              </w:rPr>
            </w:pPr>
            <w:r>
              <w:rPr>
                <w:highlight w:val="yellow"/>
              </w:rPr>
              <w:t>Cuando por las características topográficas del terreno sea técnicamente recomendable.</w:t>
            </w:r>
          </w:p>
          <w:p w14:paraId="5FC8C8A5" w14:textId="590BD586" w:rsidR="00507512" w:rsidRPr="001F2F5A" w:rsidRDefault="00E60C00" w:rsidP="00507512">
            <w:pPr>
              <w:pStyle w:val="Prrafodelista"/>
              <w:numPr>
                <w:ilvl w:val="0"/>
                <w:numId w:val="13"/>
              </w:numPr>
              <w:jc w:val="both"/>
              <w:rPr>
                <w:highlight w:val="yellow"/>
              </w:rPr>
            </w:pPr>
            <w:r w:rsidRPr="001F2F5A">
              <w:rPr>
                <w:highlight w:val="yellow"/>
              </w:rPr>
              <w:t>Cuando se trate de s</w:t>
            </w:r>
            <w:r w:rsidR="00507512" w:rsidRPr="001F2F5A">
              <w:rPr>
                <w:highlight w:val="yellow"/>
              </w:rPr>
              <w:t xml:space="preserve">ectores con accidentes geográficos tales como riberas lago o río o playa de mar, acantilados, quebradas, </w:t>
            </w:r>
            <w:r w:rsidR="00227C94">
              <w:rPr>
                <w:highlight w:val="yellow"/>
              </w:rPr>
              <w:t xml:space="preserve">cerros isla, </w:t>
            </w:r>
            <w:r w:rsidR="00507512" w:rsidRPr="001F2F5A">
              <w:rPr>
                <w:highlight w:val="yellow"/>
              </w:rPr>
              <w:t>entre otros</w:t>
            </w:r>
            <w:r w:rsidR="006B3AE9" w:rsidRPr="001F2F5A">
              <w:rPr>
                <w:highlight w:val="yellow"/>
              </w:rPr>
              <w:t xml:space="preserve">, en que </w:t>
            </w:r>
            <w:r w:rsidR="00984BF1" w:rsidRPr="001F2F5A">
              <w:rPr>
                <w:highlight w:val="yellow"/>
              </w:rPr>
              <w:t xml:space="preserve">por consideraciones propias de la ingeniería sea </w:t>
            </w:r>
            <w:r w:rsidR="006C13B5" w:rsidRPr="001F2F5A">
              <w:rPr>
                <w:highlight w:val="yellow"/>
              </w:rPr>
              <w:t xml:space="preserve">técnicamente </w:t>
            </w:r>
            <w:r w:rsidR="00984BF1" w:rsidRPr="001F2F5A">
              <w:rPr>
                <w:highlight w:val="yellow"/>
              </w:rPr>
              <w:t>recomendable</w:t>
            </w:r>
            <w:r w:rsidR="001218BA">
              <w:rPr>
                <w:highlight w:val="yellow"/>
              </w:rPr>
              <w:t>.</w:t>
            </w:r>
          </w:p>
          <w:p w14:paraId="34C6491E" w14:textId="5D554013" w:rsidR="00507512" w:rsidRPr="001F2F5A" w:rsidRDefault="00EB5BF9" w:rsidP="00E83C70">
            <w:pPr>
              <w:pStyle w:val="Prrafodelista"/>
              <w:numPr>
                <w:ilvl w:val="0"/>
                <w:numId w:val="13"/>
              </w:numPr>
              <w:jc w:val="both"/>
              <w:rPr>
                <w:highlight w:val="yellow"/>
              </w:rPr>
            </w:pPr>
            <w:r w:rsidRPr="001F2F5A">
              <w:rPr>
                <w:highlight w:val="yellow"/>
              </w:rPr>
              <w:t xml:space="preserve">Cuando se trate de sectores cuyas manzanas </w:t>
            </w:r>
            <w:r w:rsidR="00CB38B0" w:rsidRPr="001F2F5A">
              <w:rPr>
                <w:highlight w:val="yellow"/>
              </w:rPr>
              <w:t xml:space="preserve">se encuentren </w:t>
            </w:r>
            <w:r w:rsidR="00507512" w:rsidRPr="001F2F5A">
              <w:rPr>
                <w:highlight w:val="yellow"/>
              </w:rPr>
              <w:t xml:space="preserve">mayoritariamente </w:t>
            </w:r>
            <w:r w:rsidR="002F5BE3" w:rsidRPr="001F2F5A">
              <w:rPr>
                <w:highlight w:val="yellow"/>
              </w:rPr>
              <w:t xml:space="preserve">ocupadas </w:t>
            </w:r>
            <w:r w:rsidR="00507512" w:rsidRPr="001F2F5A">
              <w:rPr>
                <w:highlight w:val="yellow"/>
              </w:rPr>
              <w:t>por edificaciones existentes con uso de suelo equipamiento de cualquier clase, industrias u otras instalaciones de impacto similar al industrial</w:t>
            </w:r>
            <w:r w:rsidR="00D0623B" w:rsidRPr="001F2F5A">
              <w:rPr>
                <w:highlight w:val="yellow"/>
              </w:rPr>
              <w:t xml:space="preserve"> calificadas de molestas, insalubres o </w:t>
            </w:r>
            <w:r w:rsidR="00E94564" w:rsidRPr="001F2F5A">
              <w:rPr>
                <w:highlight w:val="yellow"/>
              </w:rPr>
              <w:t>contaminante o peligrosa</w:t>
            </w:r>
            <w:r w:rsidR="00507512" w:rsidRPr="001F2F5A">
              <w:rPr>
                <w:highlight w:val="yellow"/>
              </w:rPr>
              <w:t xml:space="preserve">, </w:t>
            </w:r>
            <w:r w:rsidR="00E94564" w:rsidRPr="001F2F5A">
              <w:rPr>
                <w:highlight w:val="yellow"/>
              </w:rPr>
              <w:t xml:space="preserve">o con </w:t>
            </w:r>
            <w:r w:rsidR="00507512" w:rsidRPr="001F2F5A">
              <w:rPr>
                <w:highlight w:val="yellow"/>
              </w:rPr>
              <w:t>edificaciones o instalaciones del uso de suelo infraestructura</w:t>
            </w:r>
            <w:r w:rsidR="00E00025" w:rsidRPr="001F2F5A">
              <w:rPr>
                <w:highlight w:val="yellow"/>
              </w:rPr>
              <w:t>, en que por consideraciones propias de la ingeniería, o por</w:t>
            </w:r>
            <w:r w:rsidR="006C13B5" w:rsidRPr="001F2F5A">
              <w:rPr>
                <w:highlight w:val="yellow"/>
              </w:rPr>
              <w:t xml:space="preserve"> razones de seguridad vial o del funcionamiento de las edificaciones y sus instalaciones, </w:t>
            </w:r>
            <w:r w:rsidR="00E00025" w:rsidRPr="001F2F5A">
              <w:rPr>
                <w:highlight w:val="yellow"/>
              </w:rPr>
              <w:t xml:space="preserve"> sea </w:t>
            </w:r>
            <w:r w:rsidR="006C13B5" w:rsidRPr="001F2F5A">
              <w:rPr>
                <w:highlight w:val="yellow"/>
              </w:rPr>
              <w:t xml:space="preserve">técnicamente </w:t>
            </w:r>
            <w:r w:rsidR="00E00025" w:rsidRPr="001F2F5A">
              <w:rPr>
                <w:highlight w:val="yellow"/>
              </w:rPr>
              <w:t>recomendable</w:t>
            </w:r>
            <w:r w:rsidR="00227C94">
              <w:rPr>
                <w:highlight w:val="yellow"/>
              </w:rPr>
              <w:t>.</w:t>
            </w:r>
          </w:p>
          <w:p w14:paraId="35EFE24F" w14:textId="3F2A15A8" w:rsidR="00507512" w:rsidRPr="001F2F5A" w:rsidRDefault="00E83C70" w:rsidP="00507512">
            <w:pPr>
              <w:pStyle w:val="Prrafodelista"/>
              <w:numPr>
                <w:ilvl w:val="0"/>
                <w:numId w:val="13"/>
              </w:numPr>
              <w:jc w:val="both"/>
              <w:rPr>
                <w:highlight w:val="yellow"/>
              </w:rPr>
            </w:pPr>
            <w:r w:rsidRPr="001F2F5A">
              <w:rPr>
                <w:highlight w:val="yellow"/>
              </w:rPr>
              <w:t>Cuando se trate de sectores cuyas m</w:t>
            </w:r>
            <w:r w:rsidR="00507512" w:rsidRPr="001F2F5A">
              <w:rPr>
                <w:highlight w:val="yellow"/>
              </w:rPr>
              <w:t xml:space="preserve">anzanas </w:t>
            </w:r>
            <w:r w:rsidR="002D6B62" w:rsidRPr="001F2F5A">
              <w:rPr>
                <w:highlight w:val="yellow"/>
              </w:rPr>
              <w:t>se encuentren mayoritariamente ocupadas</w:t>
            </w:r>
            <w:r w:rsidR="00507512" w:rsidRPr="001F2F5A">
              <w:rPr>
                <w:highlight w:val="yellow"/>
              </w:rPr>
              <w:t xml:space="preserve"> con edificaciones existentes con destino vivienda conforme a lo admitido en el respectivo plan regulador comunal o plan seccional</w:t>
            </w:r>
            <w:r w:rsidR="005D3258" w:rsidRPr="001F2F5A">
              <w:rPr>
                <w:highlight w:val="yellow"/>
              </w:rPr>
              <w:t xml:space="preserve"> en </w:t>
            </w:r>
            <w:r w:rsidR="001365A6" w:rsidRPr="001F2F5A">
              <w:rPr>
                <w:highlight w:val="yellow"/>
              </w:rPr>
              <w:t>que,</w:t>
            </w:r>
            <w:r w:rsidR="005D3258" w:rsidRPr="001F2F5A">
              <w:rPr>
                <w:highlight w:val="yellow"/>
              </w:rPr>
              <w:t xml:space="preserve"> por consideraciones propias de la ingeniería, o por condicione</w:t>
            </w:r>
            <w:r w:rsidR="005F70AA" w:rsidRPr="001F2F5A">
              <w:rPr>
                <w:highlight w:val="yellow"/>
              </w:rPr>
              <w:t>s locales, sea técnicamente recomendable</w:t>
            </w:r>
            <w:r w:rsidR="00997DD9">
              <w:rPr>
                <w:highlight w:val="yellow"/>
              </w:rPr>
              <w:t>.</w:t>
            </w:r>
          </w:p>
          <w:p w14:paraId="6FCD563E" w14:textId="77777777" w:rsidR="0016349F" w:rsidRPr="001F2F5A" w:rsidRDefault="0016349F" w:rsidP="001365A6">
            <w:pPr>
              <w:spacing w:before="120" w:after="120"/>
              <w:ind w:right="92"/>
              <w:jc w:val="both"/>
              <w:rPr>
                <w:rFonts w:ascii="Calibri" w:hAnsi="Calibri" w:cs="Calibri"/>
                <w:highlight w:val="yellow"/>
              </w:rPr>
            </w:pPr>
          </w:p>
          <w:p w14:paraId="39A9FDCF" w14:textId="77777777" w:rsidR="00816A09" w:rsidRDefault="0016349F" w:rsidP="00BE361A">
            <w:pPr>
              <w:jc w:val="both"/>
            </w:pPr>
            <w:r w:rsidRPr="001F2F5A">
              <w:rPr>
                <w:highlight w:val="yellow"/>
              </w:rPr>
              <w:lastRenderedPageBreak/>
              <w:t>En todos los casos que se indican en el inciso anterior, la Memoria Explicativa</w:t>
            </w:r>
            <w:r w:rsidR="002A63F1" w:rsidRPr="001F2F5A">
              <w:rPr>
                <w:highlight w:val="yellow"/>
              </w:rPr>
              <w:t xml:space="preserve"> y el Estudio de Movilidad Urbana </w:t>
            </w:r>
            <w:r w:rsidRPr="001F2F5A">
              <w:rPr>
                <w:highlight w:val="yellow"/>
              </w:rPr>
              <w:t xml:space="preserve">del respectivo plan regulador comunal o plan seccional deberá consignar expresamente las razones </w:t>
            </w:r>
            <w:r w:rsidR="006A6F0E">
              <w:rPr>
                <w:highlight w:val="yellow"/>
              </w:rPr>
              <w:t xml:space="preserve">o consideraciones propias de la </w:t>
            </w:r>
            <w:r w:rsidR="004739C6">
              <w:rPr>
                <w:highlight w:val="yellow"/>
              </w:rPr>
              <w:t xml:space="preserve">ingeniería </w:t>
            </w:r>
            <w:r w:rsidR="007B6BC0">
              <w:rPr>
                <w:highlight w:val="yellow"/>
              </w:rPr>
              <w:t xml:space="preserve">u otras </w:t>
            </w:r>
            <w:r w:rsidRPr="001F2F5A">
              <w:rPr>
                <w:highlight w:val="yellow"/>
              </w:rPr>
              <w:t>que fundamentan acogerse</w:t>
            </w:r>
            <w:r w:rsidR="003167AB" w:rsidRPr="001F2F5A">
              <w:rPr>
                <w:highlight w:val="yellow"/>
              </w:rPr>
              <w:t xml:space="preserve"> a dicha excepción </w:t>
            </w:r>
            <w:r w:rsidR="00630081">
              <w:rPr>
                <w:highlight w:val="yellow"/>
              </w:rPr>
              <w:t>para</w:t>
            </w:r>
            <w:r w:rsidR="003167AB" w:rsidRPr="001F2F5A">
              <w:rPr>
                <w:highlight w:val="yellow"/>
              </w:rPr>
              <w:t xml:space="preserve"> la configuración de la trama vial. Asim</w:t>
            </w:r>
            <w:r w:rsidR="001C0243" w:rsidRPr="001F2F5A">
              <w:rPr>
                <w:highlight w:val="yellow"/>
              </w:rPr>
              <w:t>ismo, deberá</w:t>
            </w:r>
            <w:r w:rsidR="007B6BC0">
              <w:rPr>
                <w:highlight w:val="yellow"/>
              </w:rPr>
              <w:t>n</w:t>
            </w:r>
            <w:r w:rsidR="001C0243" w:rsidRPr="001F2F5A">
              <w:rPr>
                <w:highlight w:val="yellow"/>
              </w:rPr>
              <w:t xml:space="preserve"> explicar cómo la </w:t>
            </w:r>
            <w:r w:rsidR="007B6BC0">
              <w:rPr>
                <w:highlight w:val="yellow"/>
              </w:rPr>
              <w:t>red</w:t>
            </w:r>
            <w:r w:rsidR="007B6BC0" w:rsidRPr="001F2F5A">
              <w:rPr>
                <w:highlight w:val="yellow"/>
              </w:rPr>
              <w:t xml:space="preserve"> </w:t>
            </w:r>
            <w:r w:rsidR="001C0243" w:rsidRPr="001F2F5A">
              <w:rPr>
                <w:highlight w:val="yellow"/>
              </w:rPr>
              <w:t xml:space="preserve">vial propuesta permite </w:t>
            </w:r>
            <w:r w:rsidR="00FA6C57">
              <w:rPr>
                <w:highlight w:val="yellow"/>
              </w:rPr>
              <w:t xml:space="preserve">igualmente </w:t>
            </w:r>
            <w:r w:rsidR="001365A6" w:rsidRPr="001F2F5A">
              <w:rPr>
                <w:highlight w:val="yellow"/>
              </w:rPr>
              <w:t xml:space="preserve">garantizar </w:t>
            </w:r>
            <w:r w:rsidRPr="001F2F5A">
              <w:rPr>
                <w:highlight w:val="yellow"/>
              </w:rPr>
              <w:t>la continuidad de las circulaciones y la conectividad con la vialidad existente en el sector.</w:t>
            </w:r>
            <w:bookmarkEnd w:id="0"/>
          </w:p>
          <w:p w14:paraId="6A2C6AB7" w14:textId="596F8668" w:rsidR="00BE361A" w:rsidRPr="00BE361A" w:rsidRDefault="00BE361A" w:rsidP="00BE361A">
            <w:pPr>
              <w:jc w:val="both"/>
            </w:pPr>
          </w:p>
        </w:tc>
        <w:tc>
          <w:tcPr>
            <w:tcW w:w="5675" w:type="dxa"/>
            <w:vAlign w:val="center"/>
          </w:tcPr>
          <w:p w14:paraId="4506D6A1" w14:textId="77777777" w:rsidR="00AF6537" w:rsidRPr="00CE634F" w:rsidRDefault="00AF6537" w:rsidP="00CE634F">
            <w:pPr>
              <w:spacing w:before="120" w:after="120"/>
              <w:ind w:left="119" w:right="176"/>
              <w:jc w:val="both"/>
              <w:rPr>
                <w:rFonts w:ascii="Calibri" w:hAnsi="Calibri" w:cs="Calibri"/>
                <w:spacing w:val="-3"/>
                <w:sz w:val="20"/>
                <w:szCs w:val="20"/>
              </w:rPr>
            </w:pPr>
          </w:p>
        </w:tc>
      </w:tr>
    </w:tbl>
    <w:p w14:paraId="22F8AF8B" w14:textId="42798ACF" w:rsidR="00CA746E" w:rsidRDefault="00CA746E" w:rsidP="00DA7787"/>
    <w:p w14:paraId="71C28F40" w14:textId="77777777" w:rsidR="00315660" w:rsidRDefault="00315660" w:rsidP="00DA7787"/>
    <w:p w14:paraId="225F5230" w14:textId="77777777" w:rsidR="00CA746E" w:rsidRDefault="00CA746E" w:rsidP="00DA7787"/>
    <w:p w14:paraId="26CAD2E4" w14:textId="1242AD22" w:rsidR="003F6D62" w:rsidRPr="003F6D62" w:rsidRDefault="00CA746E" w:rsidP="00DA7787">
      <w:r>
        <w:br w:type="textWrapping" w:clear="all"/>
      </w:r>
    </w:p>
    <w:sectPr w:rsidR="003F6D62" w:rsidRPr="003F6D62" w:rsidSect="00816A09">
      <w:headerReference w:type="default" r:id="rId8"/>
      <w:footerReference w:type="default" r:id="rId9"/>
      <w:headerReference w:type="first" r:id="rId10"/>
      <w:pgSz w:w="24477" w:h="15842" w:orient="landscape" w:code="3"/>
      <w:pgMar w:top="1418" w:right="1474" w:bottom="1304" w:left="147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C5E8F" w14:textId="77777777" w:rsidR="006835A4" w:rsidRDefault="006835A4" w:rsidP="0020013C">
      <w:pPr>
        <w:spacing w:after="0" w:line="240" w:lineRule="auto"/>
      </w:pPr>
      <w:r>
        <w:separator/>
      </w:r>
    </w:p>
  </w:endnote>
  <w:endnote w:type="continuationSeparator" w:id="0">
    <w:p w14:paraId="2AC83C24" w14:textId="77777777" w:rsidR="006835A4" w:rsidRDefault="006835A4"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107920"/>
      <w:docPartObj>
        <w:docPartGallery w:val="Page Numbers (Bottom of Page)"/>
        <w:docPartUnique/>
      </w:docPartObj>
    </w:sdtPr>
    <w:sdtEndPr/>
    <w:sdtContent>
      <w:p w14:paraId="2CFD4677" w14:textId="6F12083E"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rsidR="00816A09">
          <w:tab/>
        </w:r>
        <w:r w:rsidR="00816A09">
          <w:tab/>
        </w:r>
        <w:r w:rsidR="00816A09">
          <w:tab/>
        </w:r>
        <w:r w:rsidR="00816A09">
          <w:tab/>
        </w:r>
        <w:r w:rsidR="00816A09">
          <w:tab/>
        </w:r>
        <w:r w:rsidR="00816A09">
          <w:tab/>
        </w:r>
        <w:r w:rsidR="00816A09">
          <w:tab/>
        </w:r>
        <w:r w:rsidR="00816A09">
          <w:tab/>
        </w:r>
        <w:r w:rsidR="00816A09">
          <w:tab/>
        </w:r>
        <w:r w:rsidR="00816A09">
          <w:tab/>
        </w:r>
        <w:r w:rsidR="00816A09">
          <w:tab/>
        </w:r>
        <w:r w:rsidR="00816A09">
          <w:tab/>
        </w:r>
        <w:r>
          <w:fldChar w:fldCharType="begin"/>
        </w:r>
        <w:r>
          <w:instrText>PAGE   \* MERGEFORMAT</w:instrText>
        </w:r>
        <w:r>
          <w:fldChar w:fldCharType="separate"/>
        </w:r>
        <w:r w:rsidR="005F69F0" w:rsidRPr="005F69F0">
          <w:rPr>
            <w:noProof/>
            <w:lang w:val="es-ES"/>
          </w:rPr>
          <w:t>3</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7109" w14:textId="77777777" w:rsidR="006835A4" w:rsidRDefault="006835A4" w:rsidP="0020013C">
      <w:pPr>
        <w:spacing w:after="0" w:line="240" w:lineRule="auto"/>
      </w:pPr>
      <w:r>
        <w:separator/>
      </w:r>
    </w:p>
  </w:footnote>
  <w:footnote w:type="continuationSeparator" w:id="0">
    <w:p w14:paraId="42ACAC82" w14:textId="77777777" w:rsidR="006835A4" w:rsidRDefault="006835A4" w:rsidP="0020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60288"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7BF445"/>
    <w:multiLevelType w:val="hybridMultilevel"/>
    <w:tmpl w:val="4C0779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DD479"/>
    <w:multiLevelType w:val="hybridMultilevel"/>
    <w:tmpl w:val="7A1FC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379A"/>
    <w:multiLevelType w:val="hybridMultilevel"/>
    <w:tmpl w:val="6D582CFA"/>
    <w:lvl w:ilvl="0" w:tplc="96AE193E">
      <w:start w:val="1"/>
      <w:numFmt w:val="lowerLetter"/>
      <w:lvlText w:val="%1)"/>
      <w:lvlJc w:val="left"/>
      <w:pPr>
        <w:ind w:left="438" w:hanging="360"/>
      </w:pPr>
      <w:rPr>
        <w:rFonts w:hint="default"/>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abstractNum w:abstractNumId="3"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 w15:restartNumberingAfterBreak="0">
    <w:nsid w:val="0D2329A5"/>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5"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C83496"/>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7" w15:restartNumberingAfterBreak="0">
    <w:nsid w:val="1ACF9781"/>
    <w:multiLevelType w:val="hybridMultilevel"/>
    <w:tmpl w:val="400656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8D9A9D"/>
    <w:multiLevelType w:val="hybridMultilevel"/>
    <w:tmpl w:val="69043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91F218"/>
    <w:multiLevelType w:val="hybridMultilevel"/>
    <w:tmpl w:val="68FAF9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68047A"/>
    <w:multiLevelType w:val="hybridMultilevel"/>
    <w:tmpl w:val="118EB8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181825563">
    <w:abstractNumId w:val="3"/>
  </w:num>
  <w:num w:numId="2" w16cid:durableId="825899588">
    <w:abstractNumId w:val="13"/>
  </w:num>
  <w:num w:numId="3" w16cid:durableId="356200810">
    <w:abstractNumId w:val="12"/>
  </w:num>
  <w:num w:numId="4" w16cid:durableId="661935420">
    <w:abstractNumId w:val="5"/>
  </w:num>
  <w:num w:numId="5" w16cid:durableId="998654209">
    <w:abstractNumId w:val="11"/>
  </w:num>
  <w:num w:numId="6" w16cid:durableId="779757955">
    <w:abstractNumId w:val="9"/>
  </w:num>
  <w:num w:numId="7" w16cid:durableId="822359684">
    <w:abstractNumId w:val="7"/>
  </w:num>
  <w:num w:numId="8" w16cid:durableId="1780643274">
    <w:abstractNumId w:val="8"/>
  </w:num>
  <w:num w:numId="9" w16cid:durableId="2057309525">
    <w:abstractNumId w:val="0"/>
  </w:num>
  <w:num w:numId="10" w16cid:durableId="497960326">
    <w:abstractNumId w:val="1"/>
  </w:num>
  <w:num w:numId="11" w16cid:durableId="1142237522">
    <w:abstractNumId w:val="4"/>
  </w:num>
  <w:num w:numId="12" w16cid:durableId="365566283">
    <w:abstractNumId w:val="6"/>
  </w:num>
  <w:num w:numId="13" w16cid:durableId="1671711532">
    <w:abstractNumId w:val="2"/>
  </w:num>
  <w:num w:numId="14" w16cid:durableId="64466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3D7"/>
    <w:rsid w:val="00007CAD"/>
    <w:rsid w:val="000127B5"/>
    <w:rsid w:val="0001659A"/>
    <w:rsid w:val="00017A78"/>
    <w:rsid w:val="00020030"/>
    <w:rsid w:val="000200AA"/>
    <w:rsid w:val="00020EF2"/>
    <w:rsid w:val="00024DF7"/>
    <w:rsid w:val="000259E4"/>
    <w:rsid w:val="00034A44"/>
    <w:rsid w:val="00035821"/>
    <w:rsid w:val="00037709"/>
    <w:rsid w:val="00041AFB"/>
    <w:rsid w:val="00052036"/>
    <w:rsid w:val="00052A79"/>
    <w:rsid w:val="00053599"/>
    <w:rsid w:val="00053F52"/>
    <w:rsid w:val="00054007"/>
    <w:rsid w:val="0005509A"/>
    <w:rsid w:val="00061151"/>
    <w:rsid w:val="000623B5"/>
    <w:rsid w:val="00063187"/>
    <w:rsid w:val="000648D4"/>
    <w:rsid w:val="00065641"/>
    <w:rsid w:val="00065C6E"/>
    <w:rsid w:val="00072A54"/>
    <w:rsid w:val="00075790"/>
    <w:rsid w:val="00075B16"/>
    <w:rsid w:val="00076572"/>
    <w:rsid w:val="000765AF"/>
    <w:rsid w:val="00077D43"/>
    <w:rsid w:val="00082C35"/>
    <w:rsid w:val="000859B6"/>
    <w:rsid w:val="00086B0E"/>
    <w:rsid w:val="000955A8"/>
    <w:rsid w:val="000A0309"/>
    <w:rsid w:val="000A221B"/>
    <w:rsid w:val="000A2CDA"/>
    <w:rsid w:val="000A3092"/>
    <w:rsid w:val="000A34FC"/>
    <w:rsid w:val="000A4AB3"/>
    <w:rsid w:val="000A5E15"/>
    <w:rsid w:val="000A7CD3"/>
    <w:rsid w:val="000B1BA1"/>
    <w:rsid w:val="000B512D"/>
    <w:rsid w:val="000B7C30"/>
    <w:rsid w:val="000C0B4B"/>
    <w:rsid w:val="000C13D1"/>
    <w:rsid w:val="000C5121"/>
    <w:rsid w:val="000C5A55"/>
    <w:rsid w:val="000C7043"/>
    <w:rsid w:val="000D32A7"/>
    <w:rsid w:val="000E0263"/>
    <w:rsid w:val="000E417A"/>
    <w:rsid w:val="000E48F5"/>
    <w:rsid w:val="000E76B5"/>
    <w:rsid w:val="000F0849"/>
    <w:rsid w:val="000F39CA"/>
    <w:rsid w:val="000F3E43"/>
    <w:rsid w:val="000F5BD2"/>
    <w:rsid w:val="000F61F6"/>
    <w:rsid w:val="000F6BE1"/>
    <w:rsid w:val="00100CCD"/>
    <w:rsid w:val="001012BF"/>
    <w:rsid w:val="00101BE0"/>
    <w:rsid w:val="00103234"/>
    <w:rsid w:val="00105F42"/>
    <w:rsid w:val="0010779F"/>
    <w:rsid w:val="00111DE6"/>
    <w:rsid w:val="00116E70"/>
    <w:rsid w:val="001218BA"/>
    <w:rsid w:val="001271A1"/>
    <w:rsid w:val="001353C3"/>
    <w:rsid w:val="0013561C"/>
    <w:rsid w:val="001365A6"/>
    <w:rsid w:val="001368BB"/>
    <w:rsid w:val="001409DB"/>
    <w:rsid w:val="00142FEB"/>
    <w:rsid w:val="00151C0E"/>
    <w:rsid w:val="001544B3"/>
    <w:rsid w:val="0015740D"/>
    <w:rsid w:val="001600CF"/>
    <w:rsid w:val="001604E7"/>
    <w:rsid w:val="0016250B"/>
    <w:rsid w:val="0016349F"/>
    <w:rsid w:val="00164C8E"/>
    <w:rsid w:val="00172079"/>
    <w:rsid w:val="001776AE"/>
    <w:rsid w:val="00177DE5"/>
    <w:rsid w:val="0018126D"/>
    <w:rsid w:val="00182130"/>
    <w:rsid w:val="00185426"/>
    <w:rsid w:val="001865C4"/>
    <w:rsid w:val="0018731E"/>
    <w:rsid w:val="00187A34"/>
    <w:rsid w:val="00191F11"/>
    <w:rsid w:val="00193B4E"/>
    <w:rsid w:val="001964F3"/>
    <w:rsid w:val="001968C3"/>
    <w:rsid w:val="00196C0F"/>
    <w:rsid w:val="0019718E"/>
    <w:rsid w:val="0019763E"/>
    <w:rsid w:val="001A29A0"/>
    <w:rsid w:val="001A2DB6"/>
    <w:rsid w:val="001A3BAD"/>
    <w:rsid w:val="001A496D"/>
    <w:rsid w:val="001A5CFA"/>
    <w:rsid w:val="001A6E6B"/>
    <w:rsid w:val="001A74D2"/>
    <w:rsid w:val="001B2BE1"/>
    <w:rsid w:val="001B6E70"/>
    <w:rsid w:val="001B7031"/>
    <w:rsid w:val="001C0243"/>
    <w:rsid w:val="001C1545"/>
    <w:rsid w:val="001C1BFD"/>
    <w:rsid w:val="001C2216"/>
    <w:rsid w:val="001C325B"/>
    <w:rsid w:val="001D119A"/>
    <w:rsid w:val="001E0029"/>
    <w:rsid w:val="001E34AE"/>
    <w:rsid w:val="001E4818"/>
    <w:rsid w:val="001E4FC5"/>
    <w:rsid w:val="001E59CB"/>
    <w:rsid w:val="001E6096"/>
    <w:rsid w:val="001E6810"/>
    <w:rsid w:val="001E6AE0"/>
    <w:rsid w:val="001F1147"/>
    <w:rsid w:val="001F2F5A"/>
    <w:rsid w:val="001F35FB"/>
    <w:rsid w:val="001F6994"/>
    <w:rsid w:val="001F6A9D"/>
    <w:rsid w:val="001F6DB2"/>
    <w:rsid w:val="001F713A"/>
    <w:rsid w:val="001F731D"/>
    <w:rsid w:val="001F7383"/>
    <w:rsid w:val="0020013C"/>
    <w:rsid w:val="00202276"/>
    <w:rsid w:val="002051E3"/>
    <w:rsid w:val="002068B1"/>
    <w:rsid w:val="00206B69"/>
    <w:rsid w:val="0021266D"/>
    <w:rsid w:val="00212822"/>
    <w:rsid w:val="00212DFA"/>
    <w:rsid w:val="00215337"/>
    <w:rsid w:val="00216BDD"/>
    <w:rsid w:val="00221199"/>
    <w:rsid w:val="00221948"/>
    <w:rsid w:val="00223A7D"/>
    <w:rsid w:val="00223D8C"/>
    <w:rsid w:val="00225949"/>
    <w:rsid w:val="002268DC"/>
    <w:rsid w:val="00226DF6"/>
    <w:rsid w:val="00227C94"/>
    <w:rsid w:val="00230555"/>
    <w:rsid w:val="00234427"/>
    <w:rsid w:val="002345FA"/>
    <w:rsid w:val="00235086"/>
    <w:rsid w:val="002359E5"/>
    <w:rsid w:val="00242C0A"/>
    <w:rsid w:val="00242C10"/>
    <w:rsid w:val="002460EA"/>
    <w:rsid w:val="002461B8"/>
    <w:rsid w:val="0024680C"/>
    <w:rsid w:val="00247E26"/>
    <w:rsid w:val="002523D0"/>
    <w:rsid w:val="0025381B"/>
    <w:rsid w:val="00256FEE"/>
    <w:rsid w:val="00260E67"/>
    <w:rsid w:val="0026102F"/>
    <w:rsid w:val="00262D90"/>
    <w:rsid w:val="00263BE7"/>
    <w:rsid w:val="00263CFE"/>
    <w:rsid w:val="0026527A"/>
    <w:rsid w:val="00265E42"/>
    <w:rsid w:val="0026660E"/>
    <w:rsid w:val="0027179E"/>
    <w:rsid w:val="00273ECC"/>
    <w:rsid w:val="00274A73"/>
    <w:rsid w:val="00276A01"/>
    <w:rsid w:val="00282A2D"/>
    <w:rsid w:val="0028513E"/>
    <w:rsid w:val="00286C8D"/>
    <w:rsid w:val="00290FBC"/>
    <w:rsid w:val="00292C20"/>
    <w:rsid w:val="002A0575"/>
    <w:rsid w:val="002A3F7B"/>
    <w:rsid w:val="002A44B4"/>
    <w:rsid w:val="002A5B44"/>
    <w:rsid w:val="002A63F1"/>
    <w:rsid w:val="002B268B"/>
    <w:rsid w:val="002B3A7E"/>
    <w:rsid w:val="002C2498"/>
    <w:rsid w:val="002C67C5"/>
    <w:rsid w:val="002D1C76"/>
    <w:rsid w:val="002D432E"/>
    <w:rsid w:val="002D52D9"/>
    <w:rsid w:val="002D6B62"/>
    <w:rsid w:val="002E0431"/>
    <w:rsid w:val="002E0808"/>
    <w:rsid w:val="002E256D"/>
    <w:rsid w:val="002E2647"/>
    <w:rsid w:val="002E2BFA"/>
    <w:rsid w:val="002E3969"/>
    <w:rsid w:val="002E3F48"/>
    <w:rsid w:val="002E42BE"/>
    <w:rsid w:val="002E43E8"/>
    <w:rsid w:val="002E5D2A"/>
    <w:rsid w:val="002E6D93"/>
    <w:rsid w:val="002F5BE3"/>
    <w:rsid w:val="00300191"/>
    <w:rsid w:val="003009B3"/>
    <w:rsid w:val="003069A9"/>
    <w:rsid w:val="00307E30"/>
    <w:rsid w:val="0031004F"/>
    <w:rsid w:val="0031068C"/>
    <w:rsid w:val="003114B2"/>
    <w:rsid w:val="0031395D"/>
    <w:rsid w:val="00315660"/>
    <w:rsid w:val="003167AB"/>
    <w:rsid w:val="00320B8D"/>
    <w:rsid w:val="00320D4A"/>
    <w:rsid w:val="0032790E"/>
    <w:rsid w:val="0033652D"/>
    <w:rsid w:val="00340A61"/>
    <w:rsid w:val="00342BE4"/>
    <w:rsid w:val="00342CE3"/>
    <w:rsid w:val="0034458F"/>
    <w:rsid w:val="00346D63"/>
    <w:rsid w:val="00346D7D"/>
    <w:rsid w:val="00350B0E"/>
    <w:rsid w:val="00351CAC"/>
    <w:rsid w:val="0035233B"/>
    <w:rsid w:val="003527BA"/>
    <w:rsid w:val="00352975"/>
    <w:rsid w:val="00354C58"/>
    <w:rsid w:val="00360A07"/>
    <w:rsid w:val="00361F75"/>
    <w:rsid w:val="00363575"/>
    <w:rsid w:val="00364BA1"/>
    <w:rsid w:val="00366E75"/>
    <w:rsid w:val="003704CD"/>
    <w:rsid w:val="003718B0"/>
    <w:rsid w:val="003721A5"/>
    <w:rsid w:val="00387DC2"/>
    <w:rsid w:val="00391F1C"/>
    <w:rsid w:val="003938C4"/>
    <w:rsid w:val="00394ADD"/>
    <w:rsid w:val="003A03B8"/>
    <w:rsid w:val="003A0C2E"/>
    <w:rsid w:val="003A2196"/>
    <w:rsid w:val="003A2E50"/>
    <w:rsid w:val="003A50EF"/>
    <w:rsid w:val="003B6001"/>
    <w:rsid w:val="003B646F"/>
    <w:rsid w:val="003C3222"/>
    <w:rsid w:val="003C33DE"/>
    <w:rsid w:val="003C4050"/>
    <w:rsid w:val="003D0282"/>
    <w:rsid w:val="003D098C"/>
    <w:rsid w:val="003D3FCD"/>
    <w:rsid w:val="003D7254"/>
    <w:rsid w:val="003E0642"/>
    <w:rsid w:val="003E0C21"/>
    <w:rsid w:val="003E3605"/>
    <w:rsid w:val="003E5609"/>
    <w:rsid w:val="003E583E"/>
    <w:rsid w:val="003F2428"/>
    <w:rsid w:val="003F6BAC"/>
    <w:rsid w:val="003F6D62"/>
    <w:rsid w:val="00406BAD"/>
    <w:rsid w:val="00407FAE"/>
    <w:rsid w:val="00412B03"/>
    <w:rsid w:val="00417B12"/>
    <w:rsid w:val="00423C72"/>
    <w:rsid w:val="00423FCF"/>
    <w:rsid w:val="0042596F"/>
    <w:rsid w:val="00430054"/>
    <w:rsid w:val="004306E6"/>
    <w:rsid w:val="0043200C"/>
    <w:rsid w:val="00433D25"/>
    <w:rsid w:val="00435C5C"/>
    <w:rsid w:val="00437766"/>
    <w:rsid w:val="004377CF"/>
    <w:rsid w:val="0044269C"/>
    <w:rsid w:val="00442C05"/>
    <w:rsid w:val="00442E84"/>
    <w:rsid w:val="0044329D"/>
    <w:rsid w:val="00444149"/>
    <w:rsid w:val="00445763"/>
    <w:rsid w:val="00450270"/>
    <w:rsid w:val="0045357F"/>
    <w:rsid w:val="004544F5"/>
    <w:rsid w:val="00463496"/>
    <w:rsid w:val="00464C68"/>
    <w:rsid w:val="00466677"/>
    <w:rsid w:val="00466E40"/>
    <w:rsid w:val="0046763C"/>
    <w:rsid w:val="00471F07"/>
    <w:rsid w:val="0047307E"/>
    <w:rsid w:val="004739C6"/>
    <w:rsid w:val="00477CF4"/>
    <w:rsid w:val="00480034"/>
    <w:rsid w:val="00483D80"/>
    <w:rsid w:val="00485EA7"/>
    <w:rsid w:val="00486ADD"/>
    <w:rsid w:val="00491508"/>
    <w:rsid w:val="004949B8"/>
    <w:rsid w:val="00496B21"/>
    <w:rsid w:val="00497E8C"/>
    <w:rsid w:val="004A01F7"/>
    <w:rsid w:val="004A0210"/>
    <w:rsid w:val="004A1D24"/>
    <w:rsid w:val="004A2427"/>
    <w:rsid w:val="004A69D1"/>
    <w:rsid w:val="004B2C5B"/>
    <w:rsid w:val="004B620C"/>
    <w:rsid w:val="004B644C"/>
    <w:rsid w:val="004B6DC5"/>
    <w:rsid w:val="004C0297"/>
    <w:rsid w:val="004C4E80"/>
    <w:rsid w:val="004D1F07"/>
    <w:rsid w:val="004D704E"/>
    <w:rsid w:val="004E020A"/>
    <w:rsid w:val="004E04FE"/>
    <w:rsid w:val="004E1C05"/>
    <w:rsid w:val="004E3798"/>
    <w:rsid w:val="004E390D"/>
    <w:rsid w:val="004E4022"/>
    <w:rsid w:val="004E7144"/>
    <w:rsid w:val="004F0A99"/>
    <w:rsid w:val="004F21C4"/>
    <w:rsid w:val="004F332B"/>
    <w:rsid w:val="004F3A16"/>
    <w:rsid w:val="00502109"/>
    <w:rsid w:val="00503116"/>
    <w:rsid w:val="00503CBE"/>
    <w:rsid w:val="005045D0"/>
    <w:rsid w:val="00505A58"/>
    <w:rsid w:val="00507512"/>
    <w:rsid w:val="005077AD"/>
    <w:rsid w:val="00507EC6"/>
    <w:rsid w:val="005109F8"/>
    <w:rsid w:val="0051272B"/>
    <w:rsid w:val="00515356"/>
    <w:rsid w:val="00515B18"/>
    <w:rsid w:val="0051793B"/>
    <w:rsid w:val="00520043"/>
    <w:rsid w:val="00520E00"/>
    <w:rsid w:val="00521441"/>
    <w:rsid w:val="00523980"/>
    <w:rsid w:val="00527462"/>
    <w:rsid w:val="00531483"/>
    <w:rsid w:val="005314C2"/>
    <w:rsid w:val="0053640E"/>
    <w:rsid w:val="00536FF3"/>
    <w:rsid w:val="005412CC"/>
    <w:rsid w:val="00543DEE"/>
    <w:rsid w:val="00544245"/>
    <w:rsid w:val="00544985"/>
    <w:rsid w:val="00545130"/>
    <w:rsid w:val="005464C3"/>
    <w:rsid w:val="005468FC"/>
    <w:rsid w:val="00546BB3"/>
    <w:rsid w:val="0055324A"/>
    <w:rsid w:val="00557E3F"/>
    <w:rsid w:val="00564FC9"/>
    <w:rsid w:val="005709FE"/>
    <w:rsid w:val="00570EA9"/>
    <w:rsid w:val="00571641"/>
    <w:rsid w:val="0057240D"/>
    <w:rsid w:val="005726B1"/>
    <w:rsid w:val="0057394A"/>
    <w:rsid w:val="005758D5"/>
    <w:rsid w:val="00576F10"/>
    <w:rsid w:val="00581BA2"/>
    <w:rsid w:val="005850B5"/>
    <w:rsid w:val="00585D73"/>
    <w:rsid w:val="00587BB1"/>
    <w:rsid w:val="00594ACA"/>
    <w:rsid w:val="00594C84"/>
    <w:rsid w:val="00594F79"/>
    <w:rsid w:val="00597B25"/>
    <w:rsid w:val="005A45D0"/>
    <w:rsid w:val="005B065C"/>
    <w:rsid w:val="005B17A4"/>
    <w:rsid w:val="005B43FA"/>
    <w:rsid w:val="005B4C23"/>
    <w:rsid w:val="005B60AB"/>
    <w:rsid w:val="005B6C0F"/>
    <w:rsid w:val="005B77A6"/>
    <w:rsid w:val="005C097B"/>
    <w:rsid w:val="005C1DEC"/>
    <w:rsid w:val="005C2EAB"/>
    <w:rsid w:val="005C62D4"/>
    <w:rsid w:val="005D3258"/>
    <w:rsid w:val="005D4E00"/>
    <w:rsid w:val="005D6CB9"/>
    <w:rsid w:val="005E0C0B"/>
    <w:rsid w:val="005E112D"/>
    <w:rsid w:val="005F5442"/>
    <w:rsid w:val="005F55AF"/>
    <w:rsid w:val="005F69F0"/>
    <w:rsid w:val="005F70AA"/>
    <w:rsid w:val="005F78EF"/>
    <w:rsid w:val="00601442"/>
    <w:rsid w:val="00602193"/>
    <w:rsid w:val="00602701"/>
    <w:rsid w:val="00610664"/>
    <w:rsid w:val="006123C2"/>
    <w:rsid w:val="00613C42"/>
    <w:rsid w:val="0061648F"/>
    <w:rsid w:val="006170E0"/>
    <w:rsid w:val="00617224"/>
    <w:rsid w:val="00617EB8"/>
    <w:rsid w:val="00617F82"/>
    <w:rsid w:val="00624016"/>
    <w:rsid w:val="006249EB"/>
    <w:rsid w:val="00630081"/>
    <w:rsid w:val="006305E9"/>
    <w:rsid w:val="00633EF9"/>
    <w:rsid w:val="00641434"/>
    <w:rsid w:val="0064259E"/>
    <w:rsid w:val="00642FF9"/>
    <w:rsid w:val="006433EE"/>
    <w:rsid w:val="00644504"/>
    <w:rsid w:val="00645244"/>
    <w:rsid w:val="00647896"/>
    <w:rsid w:val="006501B8"/>
    <w:rsid w:val="00650857"/>
    <w:rsid w:val="00652977"/>
    <w:rsid w:val="0065414D"/>
    <w:rsid w:val="00657348"/>
    <w:rsid w:val="00661FA8"/>
    <w:rsid w:val="00665BE6"/>
    <w:rsid w:val="00671521"/>
    <w:rsid w:val="0067155E"/>
    <w:rsid w:val="00672D63"/>
    <w:rsid w:val="00673402"/>
    <w:rsid w:val="006737C4"/>
    <w:rsid w:val="006801F6"/>
    <w:rsid w:val="006835A4"/>
    <w:rsid w:val="0068462D"/>
    <w:rsid w:val="00685EAE"/>
    <w:rsid w:val="0068602E"/>
    <w:rsid w:val="0069076A"/>
    <w:rsid w:val="006908E7"/>
    <w:rsid w:val="00696D77"/>
    <w:rsid w:val="0069752D"/>
    <w:rsid w:val="006A3357"/>
    <w:rsid w:val="006A4172"/>
    <w:rsid w:val="006A6F0E"/>
    <w:rsid w:val="006A7709"/>
    <w:rsid w:val="006A7A3E"/>
    <w:rsid w:val="006B3AE9"/>
    <w:rsid w:val="006B611D"/>
    <w:rsid w:val="006B61E0"/>
    <w:rsid w:val="006B7FE7"/>
    <w:rsid w:val="006C13B5"/>
    <w:rsid w:val="006C7199"/>
    <w:rsid w:val="006C73A6"/>
    <w:rsid w:val="006C779A"/>
    <w:rsid w:val="006C7CE3"/>
    <w:rsid w:val="006D08C2"/>
    <w:rsid w:val="006D2509"/>
    <w:rsid w:val="006D32C1"/>
    <w:rsid w:val="006D33AB"/>
    <w:rsid w:val="006D55AC"/>
    <w:rsid w:val="006D563E"/>
    <w:rsid w:val="006E19F8"/>
    <w:rsid w:val="006E2E1C"/>
    <w:rsid w:val="006E5825"/>
    <w:rsid w:val="006E5931"/>
    <w:rsid w:val="006F0D07"/>
    <w:rsid w:val="006F12BE"/>
    <w:rsid w:val="006F1C0E"/>
    <w:rsid w:val="006F20DC"/>
    <w:rsid w:val="006F2393"/>
    <w:rsid w:val="006F24FD"/>
    <w:rsid w:val="006F3CBC"/>
    <w:rsid w:val="006F3D85"/>
    <w:rsid w:val="006F5001"/>
    <w:rsid w:val="006F6EE8"/>
    <w:rsid w:val="006F7999"/>
    <w:rsid w:val="00703046"/>
    <w:rsid w:val="007069AB"/>
    <w:rsid w:val="00715885"/>
    <w:rsid w:val="00716B48"/>
    <w:rsid w:val="0071716D"/>
    <w:rsid w:val="00717471"/>
    <w:rsid w:val="00732EC4"/>
    <w:rsid w:val="00735C89"/>
    <w:rsid w:val="00737EDA"/>
    <w:rsid w:val="00745A9E"/>
    <w:rsid w:val="007477FB"/>
    <w:rsid w:val="00755881"/>
    <w:rsid w:val="00757091"/>
    <w:rsid w:val="00761901"/>
    <w:rsid w:val="00763472"/>
    <w:rsid w:val="0077115C"/>
    <w:rsid w:val="007714D5"/>
    <w:rsid w:val="00777D0B"/>
    <w:rsid w:val="007809F3"/>
    <w:rsid w:val="00780A42"/>
    <w:rsid w:val="00781F0A"/>
    <w:rsid w:val="007831E9"/>
    <w:rsid w:val="00786A29"/>
    <w:rsid w:val="00787697"/>
    <w:rsid w:val="00790250"/>
    <w:rsid w:val="007902D6"/>
    <w:rsid w:val="00790EB3"/>
    <w:rsid w:val="007959B0"/>
    <w:rsid w:val="007A184A"/>
    <w:rsid w:val="007A4A16"/>
    <w:rsid w:val="007B06CC"/>
    <w:rsid w:val="007B1D61"/>
    <w:rsid w:val="007B29A1"/>
    <w:rsid w:val="007B694A"/>
    <w:rsid w:val="007B6BC0"/>
    <w:rsid w:val="007B6C4B"/>
    <w:rsid w:val="007B791D"/>
    <w:rsid w:val="007C26AE"/>
    <w:rsid w:val="007C4E67"/>
    <w:rsid w:val="007C7658"/>
    <w:rsid w:val="007C7692"/>
    <w:rsid w:val="007D0287"/>
    <w:rsid w:val="007D02BD"/>
    <w:rsid w:val="007D08D3"/>
    <w:rsid w:val="007D1116"/>
    <w:rsid w:val="007D1DF2"/>
    <w:rsid w:val="007D23F7"/>
    <w:rsid w:val="007D320D"/>
    <w:rsid w:val="007D48B6"/>
    <w:rsid w:val="007D72D0"/>
    <w:rsid w:val="007E0689"/>
    <w:rsid w:val="007F2930"/>
    <w:rsid w:val="007F66FE"/>
    <w:rsid w:val="0080013A"/>
    <w:rsid w:val="008034F9"/>
    <w:rsid w:val="008065E8"/>
    <w:rsid w:val="008078E0"/>
    <w:rsid w:val="00807B3A"/>
    <w:rsid w:val="00810B57"/>
    <w:rsid w:val="00815550"/>
    <w:rsid w:val="00816A09"/>
    <w:rsid w:val="00817923"/>
    <w:rsid w:val="00820A60"/>
    <w:rsid w:val="00822D16"/>
    <w:rsid w:val="00825149"/>
    <w:rsid w:val="00830702"/>
    <w:rsid w:val="00834DF1"/>
    <w:rsid w:val="00834E8C"/>
    <w:rsid w:val="00835E94"/>
    <w:rsid w:val="00835EF8"/>
    <w:rsid w:val="008364FC"/>
    <w:rsid w:val="00841C84"/>
    <w:rsid w:val="00842FBC"/>
    <w:rsid w:val="008442BE"/>
    <w:rsid w:val="00850229"/>
    <w:rsid w:val="00852FD6"/>
    <w:rsid w:val="0085450A"/>
    <w:rsid w:val="00856D21"/>
    <w:rsid w:val="00856D5C"/>
    <w:rsid w:val="00857555"/>
    <w:rsid w:val="008643FC"/>
    <w:rsid w:val="00870132"/>
    <w:rsid w:val="00870828"/>
    <w:rsid w:val="008769BE"/>
    <w:rsid w:val="00877902"/>
    <w:rsid w:val="008806F2"/>
    <w:rsid w:val="008808D8"/>
    <w:rsid w:val="00880C33"/>
    <w:rsid w:val="008830D8"/>
    <w:rsid w:val="00883233"/>
    <w:rsid w:val="00885A05"/>
    <w:rsid w:val="00886016"/>
    <w:rsid w:val="00886422"/>
    <w:rsid w:val="00886853"/>
    <w:rsid w:val="00887784"/>
    <w:rsid w:val="00891076"/>
    <w:rsid w:val="00892330"/>
    <w:rsid w:val="008926CD"/>
    <w:rsid w:val="00894B78"/>
    <w:rsid w:val="00894EF8"/>
    <w:rsid w:val="008A3B37"/>
    <w:rsid w:val="008A5510"/>
    <w:rsid w:val="008A5702"/>
    <w:rsid w:val="008A705F"/>
    <w:rsid w:val="008B0471"/>
    <w:rsid w:val="008B15CD"/>
    <w:rsid w:val="008B1C50"/>
    <w:rsid w:val="008B2B0F"/>
    <w:rsid w:val="008B3F50"/>
    <w:rsid w:val="008B50F1"/>
    <w:rsid w:val="008C20B7"/>
    <w:rsid w:val="008C232C"/>
    <w:rsid w:val="008C24CB"/>
    <w:rsid w:val="008C436F"/>
    <w:rsid w:val="008C4F82"/>
    <w:rsid w:val="008C5175"/>
    <w:rsid w:val="008C535B"/>
    <w:rsid w:val="008C7E5D"/>
    <w:rsid w:val="008D021E"/>
    <w:rsid w:val="008D20F6"/>
    <w:rsid w:val="008D3E2F"/>
    <w:rsid w:val="008D6E77"/>
    <w:rsid w:val="008E02D7"/>
    <w:rsid w:val="008E2B91"/>
    <w:rsid w:val="008E2CE1"/>
    <w:rsid w:val="008E3225"/>
    <w:rsid w:val="008E3C06"/>
    <w:rsid w:val="008E61E7"/>
    <w:rsid w:val="008F15C3"/>
    <w:rsid w:val="008F28F3"/>
    <w:rsid w:val="008F3CFA"/>
    <w:rsid w:val="008F557E"/>
    <w:rsid w:val="008F5C75"/>
    <w:rsid w:val="0090062D"/>
    <w:rsid w:val="00901D1B"/>
    <w:rsid w:val="0090228A"/>
    <w:rsid w:val="00903FCD"/>
    <w:rsid w:val="0090483C"/>
    <w:rsid w:val="00907AB9"/>
    <w:rsid w:val="00910F09"/>
    <w:rsid w:val="009117B8"/>
    <w:rsid w:val="00924502"/>
    <w:rsid w:val="00926E65"/>
    <w:rsid w:val="009270C7"/>
    <w:rsid w:val="00930F50"/>
    <w:rsid w:val="0093194E"/>
    <w:rsid w:val="00934399"/>
    <w:rsid w:val="0093727B"/>
    <w:rsid w:val="00940450"/>
    <w:rsid w:val="00940BE6"/>
    <w:rsid w:val="00940D32"/>
    <w:rsid w:val="009412DD"/>
    <w:rsid w:val="0094359F"/>
    <w:rsid w:val="009447FB"/>
    <w:rsid w:val="00944D81"/>
    <w:rsid w:val="0094564E"/>
    <w:rsid w:val="009519A1"/>
    <w:rsid w:val="00955B03"/>
    <w:rsid w:val="0095602D"/>
    <w:rsid w:val="009630B1"/>
    <w:rsid w:val="009651D3"/>
    <w:rsid w:val="00965BDE"/>
    <w:rsid w:val="00965FD5"/>
    <w:rsid w:val="00966E62"/>
    <w:rsid w:val="00967577"/>
    <w:rsid w:val="00970EB6"/>
    <w:rsid w:val="009716B8"/>
    <w:rsid w:val="00974C0F"/>
    <w:rsid w:val="00974C4D"/>
    <w:rsid w:val="009759F3"/>
    <w:rsid w:val="0097605B"/>
    <w:rsid w:val="00981520"/>
    <w:rsid w:val="00984BF1"/>
    <w:rsid w:val="00985385"/>
    <w:rsid w:val="009857B5"/>
    <w:rsid w:val="00986006"/>
    <w:rsid w:val="0099708F"/>
    <w:rsid w:val="00997DD9"/>
    <w:rsid w:val="009A757C"/>
    <w:rsid w:val="009A79B8"/>
    <w:rsid w:val="009A7E83"/>
    <w:rsid w:val="009B1517"/>
    <w:rsid w:val="009B1C19"/>
    <w:rsid w:val="009B28B2"/>
    <w:rsid w:val="009B3187"/>
    <w:rsid w:val="009B76C0"/>
    <w:rsid w:val="009C12C1"/>
    <w:rsid w:val="009C3F23"/>
    <w:rsid w:val="009C518F"/>
    <w:rsid w:val="009C5230"/>
    <w:rsid w:val="009D362F"/>
    <w:rsid w:val="009D3F6A"/>
    <w:rsid w:val="009D40F4"/>
    <w:rsid w:val="009E0C07"/>
    <w:rsid w:val="009E2EF3"/>
    <w:rsid w:val="009E362B"/>
    <w:rsid w:val="009E3A40"/>
    <w:rsid w:val="009E4F85"/>
    <w:rsid w:val="009E591C"/>
    <w:rsid w:val="009E6411"/>
    <w:rsid w:val="009F0812"/>
    <w:rsid w:val="009F34F2"/>
    <w:rsid w:val="009F3B91"/>
    <w:rsid w:val="009F4D2D"/>
    <w:rsid w:val="009F708D"/>
    <w:rsid w:val="00A135FA"/>
    <w:rsid w:val="00A13656"/>
    <w:rsid w:val="00A179E9"/>
    <w:rsid w:val="00A213E3"/>
    <w:rsid w:val="00A25AAD"/>
    <w:rsid w:val="00A26AA3"/>
    <w:rsid w:val="00A3035F"/>
    <w:rsid w:val="00A31A9A"/>
    <w:rsid w:val="00A339B4"/>
    <w:rsid w:val="00A339E9"/>
    <w:rsid w:val="00A3549E"/>
    <w:rsid w:val="00A3785D"/>
    <w:rsid w:val="00A37DB3"/>
    <w:rsid w:val="00A4273E"/>
    <w:rsid w:val="00A4648D"/>
    <w:rsid w:val="00A52800"/>
    <w:rsid w:val="00A55D84"/>
    <w:rsid w:val="00A56E8D"/>
    <w:rsid w:val="00A60EE4"/>
    <w:rsid w:val="00A628E4"/>
    <w:rsid w:val="00A67D74"/>
    <w:rsid w:val="00A70CCF"/>
    <w:rsid w:val="00A7178F"/>
    <w:rsid w:val="00A71F89"/>
    <w:rsid w:val="00A75A03"/>
    <w:rsid w:val="00A75F1C"/>
    <w:rsid w:val="00A77B35"/>
    <w:rsid w:val="00A82759"/>
    <w:rsid w:val="00A9105A"/>
    <w:rsid w:val="00A911DA"/>
    <w:rsid w:val="00A95070"/>
    <w:rsid w:val="00A97674"/>
    <w:rsid w:val="00A97D3F"/>
    <w:rsid w:val="00AA1C22"/>
    <w:rsid w:val="00AA328A"/>
    <w:rsid w:val="00AA3A8A"/>
    <w:rsid w:val="00AA530A"/>
    <w:rsid w:val="00AB1516"/>
    <w:rsid w:val="00AB20D6"/>
    <w:rsid w:val="00AB2F08"/>
    <w:rsid w:val="00AB735E"/>
    <w:rsid w:val="00AC0C2D"/>
    <w:rsid w:val="00AC4020"/>
    <w:rsid w:val="00AC4E0F"/>
    <w:rsid w:val="00AC4F73"/>
    <w:rsid w:val="00AC7AA6"/>
    <w:rsid w:val="00AD139B"/>
    <w:rsid w:val="00AD1792"/>
    <w:rsid w:val="00AD2B11"/>
    <w:rsid w:val="00AD3021"/>
    <w:rsid w:val="00AD5C71"/>
    <w:rsid w:val="00AE0027"/>
    <w:rsid w:val="00AE1783"/>
    <w:rsid w:val="00AE1CE0"/>
    <w:rsid w:val="00AE1E09"/>
    <w:rsid w:val="00AE5B93"/>
    <w:rsid w:val="00AE5E75"/>
    <w:rsid w:val="00AF0CED"/>
    <w:rsid w:val="00AF1CC2"/>
    <w:rsid w:val="00AF349B"/>
    <w:rsid w:val="00AF430D"/>
    <w:rsid w:val="00AF6537"/>
    <w:rsid w:val="00B000FD"/>
    <w:rsid w:val="00B00474"/>
    <w:rsid w:val="00B03BF2"/>
    <w:rsid w:val="00B04059"/>
    <w:rsid w:val="00B0605C"/>
    <w:rsid w:val="00B07E1D"/>
    <w:rsid w:val="00B1569B"/>
    <w:rsid w:val="00B15C05"/>
    <w:rsid w:val="00B15DDD"/>
    <w:rsid w:val="00B165AB"/>
    <w:rsid w:val="00B2020E"/>
    <w:rsid w:val="00B214F8"/>
    <w:rsid w:val="00B23426"/>
    <w:rsid w:val="00B352A7"/>
    <w:rsid w:val="00B37209"/>
    <w:rsid w:val="00B41835"/>
    <w:rsid w:val="00B43187"/>
    <w:rsid w:val="00B438DD"/>
    <w:rsid w:val="00B46BDA"/>
    <w:rsid w:val="00B5097D"/>
    <w:rsid w:val="00B523F2"/>
    <w:rsid w:val="00B52728"/>
    <w:rsid w:val="00B55E8C"/>
    <w:rsid w:val="00B56E7E"/>
    <w:rsid w:val="00B57169"/>
    <w:rsid w:val="00B60BED"/>
    <w:rsid w:val="00B625C8"/>
    <w:rsid w:val="00B663D2"/>
    <w:rsid w:val="00B729DD"/>
    <w:rsid w:val="00B77C46"/>
    <w:rsid w:val="00B8096F"/>
    <w:rsid w:val="00B83563"/>
    <w:rsid w:val="00B84FBD"/>
    <w:rsid w:val="00B86AAD"/>
    <w:rsid w:val="00B90952"/>
    <w:rsid w:val="00B91913"/>
    <w:rsid w:val="00B91E61"/>
    <w:rsid w:val="00B9235A"/>
    <w:rsid w:val="00BA1CA1"/>
    <w:rsid w:val="00BA472E"/>
    <w:rsid w:val="00BA5CCD"/>
    <w:rsid w:val="00BA6306"/>
    <w:rsid w:val="00BB0672"/>
    <w:rsid w:val="00BB4B5C"/>
    <w:rsid w:val="00BB608C"/>
    <w:rsid w:val="00BB6BB9"/>
    <w:rsid w:val="00BB70E1"/>
    <w:rsid w:val="00BB785B"/>
    <w:rsid w:val="00BC3A51"/>
    <w:rsid w:val="00BC599E"/>
    <w:rsid w:val="00BC6537"/>
    <w:rsid w:val="00BC7113"/>
    <w:rsid w:val="00BD140A"/>
    <w:rsid w:val="00BD343B"/>
    <w:rsid w:val="00BD4830"/>
    <w:rsid w:val="00BD51C1"/>
    <w:rsid w:val="00BD5CC8"/>
    <w:rsid w:val="00BD7AEA"/>
    <w:rsid w:val="00BE04A2"/>
    <w:rsid w:val="00BE29A2"/>
    <w:rsid w:val="00BE361A"/>
    <w:rsid w:val="00C00CB9"/>
    <w:rsid w:val="00C01370"/>
    <w:rsid w:val="00C11A35"/>
    <w:rsid w:val="00C12568"/>
    <w:rsid w:val="00C1354E"/>
    <w:rsid w:val="00C14E82"/>
    <w:rsid w:val="00C1533A"/>
    <w:rsid w:val="00C206DB"/>
    <w:rsid w:val="00C20AB6"/>
    <w:rsid w:val="00C27EF7"/>
    <w:rsid w:val="00C31092"/>
    <w:rsid w:val="00C31513"/>
    <w:rsid w:val="00C33F08"/>
    <w:rsid w:val="00C36753"/>
    <w:rsid w:val="00C42457"/>
    <w:rsid w:val="00C43EC0"/>
    <w:rsid w:val="00C47445"/>
    <w:rsid w:val="00C525AC"/>
    <w:rsid w:val="00C558D9"/>
    <w:rsid w:val="00C56C1D"/>
    <w:rsid w:val="00C602E2"/>
    <w:rsid w:val="00C615A3"/>
    <w:rsid w:val="00C61C99"/>
    <w:rsid w:val="00C62B4D"/>
    <w:rsid w:val="00C64EB0"/>
    <w:rsid w:val="00C70FD9"/>
    <w:rsid w:val="00C74F56"/>
    <w:rsid w:val="00C811ED"/>
    <w:rsid w:val="00C81DA5"/>
    <w:rsid w:val="00C84765"/>
    <w:rsid w:val="00C84BD3"/>
    <w:rsid w:val="00C858BC"/>
    <w:rsid w:val="00C9039F"/>
    <w:rsid w:val="00C9042C"/>
    <w:rsid w:val="00C9322E"/>
    <w:rsid w:val="00C93351"/>
    <w:rsid w:val="00C96494"/>
    <w:rsid w:val="00CA0472"/>
    <w:rsid w:val="00CA08A3"/>
    <w:rsid w:val="00CA0902"/>
    <w:rsid w:val="00CA0A13"/>
    <w:rsid w:val="00CA1763"/>
    <w:rsid w:val="00CA1BB9"/>
    <w:rsid w:val="00CA2740"/>
    <w:rsid w:val="00CA2B3E"/>
    <w:rsid w:val="00CA41C5"/>
    <w:rsid w:val="00CA746E"/>
    <w:rsid w:val="00CA7E70"/>
    <w:rsid w:val="00CB2571"/>
    <w:rsid w:val="00CB266C"/>
    <w:rsid w:val="00CB38B0"/>
    <w:rsid w:val="00CB4186"/>
    <w:rsid w:val="00CB4989"/>
    <w:rsid w:val="00CC1559"/>
    <w:rsid w:val="00CC15B4"/>
    <w:rsid w:val="00CC691A"/>
    <w:rsid w:val="00CD0BC8"/>
    <w:rsid w:val="00CD1B73"/>
    <w:rsid w:val="00CD4C35"/>
    <w:rsid w:val="00CD5436"/>
    <w:rsid w:val="00CE36F7"/>
    <w:rsid w:val="00CE45AB"/>
    <w:rsid w:val="00CE634F"/>
    <w:rsid w:val="00CE6B44"/>
    <w:rsid w:val="00CF39F5"/>
    <w:rsid w:val="00CF7023"/>
    <w:rsid w:val="00D00E5D"/>
    <w:rsid w:val="00D01165"/>
    <w:rsid w:val="00D05E1E"/>
    <w:rsid w:val="00D0623B"/>
    <w:rsid w:val="00D06D6A"/>
    <w:rsid w:val="00D13855"/>
    <w:rsid w:val="00D151F0"/>
    <w:rsid w:val="00D2120C"/>
    <w:rsid w:val="00D218FE"/>
    <w:rsid w:val="00D27D75"/>
    <w:rsid w:val="00D3078D"/>
    <w:rsid w:val="00D3509B"/>
    <w:rsid w:val="00D35A83"/>
    <w:rsid w:val="00D41B71"/>
    <w:rsid w:val="00D43DD8"/>
    <w:rsid w:val="00D5224E"/>
    <w:rsid w:val="00D526AA"/>
    <w:rsid w:val="00D5368A"/>
    <w:rsid w:val="00D538CE"/>
    <w:rsid w:val="00D53A3E"/>
    <w:rsid w:val="00D61583"/>
    <w:rsid w:val="00D678F4"/>
    <w:rsid w:val="00D67907"/>
    <w:rsid w:val="00D71964"/>
    <w:rsid w:val="00D71E6D"/>
    <w:rsid w:val="00D810CA"/>
    <w:rsid w:val="00D8353D"/>
    <w:rsid w:val="00D936A2"/>
    <w:rsid w:val="00DA353C"/>
    <w:rsid w:val="00DA7787"/>
    <w:rsid w:val="00DB22AB"/>
    <w:rsid w:val="00DB4CF9"/>
    <w:rsid w:val="00DC0226"/>
    <w:rsid w:val="00DC4195"/>
    <w:rsid w:val="00DD722A"/>
    <w:rsid w:val="00DD79AB"/>
    <w:rsid w:val="00DE2C4B"/>
    <w:rsid w:val="00DE386B"/>
    <w:rsid w:val="00DE6250"/>
    <w:rsid w:val="00DE6F7D"/>
    <w:rsid w:val="00DE7633"/>
    <w:rsid w:val="00DF0594"/>
    <w:rsid w:val="00DF152A"/>
    <w:rsid w:val="00DF4E37"/>
    <w:rsid w:val="00DF75F6"/>
    <w:rsid w:val="00E00025"/>
    <w:rsid w:val="00E026FA"/>
    <w:rsid w:val="00E033BA"/>
    <w:rsid w:val="00E034F7"/>
    <w:rsid w:val="00E04432"/>
    <w:rsid w:val="00E05AC6"/>
    <w:rsid w:val="00E06196"/>
    <w:rsid w:val="00E068B0"/>
    <w:rsid w:val="00E10058"/>
    <w:rsid w:val="00E11D97"/>
    <w:rsid w:val="00E158D7"/>
    <w:rsid w:val="00E16AAD"/>
    <w:rsid w:val="00E17480"/>
    <w:rsid w:val="00E236B3"/>
    <w:rsid w:val="00E27C88"/>
    <w:rsid w:val="00E32860"/>
    <w:rsid w:val="00E34B05"/>
    <w:rsid w:val="00E35A27"/>
    <w:rsid w:val="00E375B0"/>
    <w:rsid w:val="00E41B8E"/>
    <w:rsid w:val="00E43BAC"/>
    <w:rsid w:val="00E458EE"/>
    <w:rsid w:val="00E45C0E"/>
    <w:rsid w:val="00E45EF1"/>
    <w:rsid w:val="00E600D5"/>
    <w:rsid w:val="00E60C00"/>
    <w:rsid w:val="00E709F1"/>
    <w:rsid w:val="00E74018"/>
    <w:rsid w:val="00E76E4E"/>
    <w:rsid w:val="00E813F0"/>
    <w:rsid w:val="00E83C70"/>
    <w:rsid w:val="00E859FE"/>
    <w:rsid w:val="00E91820"/>
    <w:rsid w:val="00E934A6"/>
    <w:rsid w:val="00E94564"/>
    <w:rsid w:val="00E946D7"/>
    <w:rsid w:val="00E94E02"/>
    <w:rsid w:val="00E97586"/>
    <w:rsid w:val="00E976DC"/>
    <w:rsid w:val="00EB01D9"/>
    <w:rsid w:val="00EB11C2"/>
    <w:rsid w:val="00EB3AF4"/>
    <w:rsid w:val="00EB3E4B"/>
    <w:rsid w:val="00EB46CD"/>
    <w:rsid w:val="00EB5BF9"/>
    <w:rsid w:val="00EC0AB7"/>
    <w:rsid w:val="00EC21A0"/>
    <w:rsid w:val="00EC2D67"/>
    <w:rsid w:val="00EC418C"/>
    <w:rsid w:val="00EC4E50"/>
    <w:rsid w:val="00EC78C7"/>
    <w:rsid w:val="00EC7E5A"/>
    <w:rsid w:val="00ED1156"/>
    <w:rsid w:val="00ED1461"/>
    <w:rsid w:val="00ED2E6B"/>
    <w:rsid w:val="00ED5BE2"/>
    <w:rsid w:val="00EE1B14"/>
    <w:rsid w:val="00EE3219"/>
    <w:rsid w:val="00EE535A"/>
    <w:rsid w:val="00EF1880"/>
    <w:rsid w:val="00EF2D89"/>
    <w:rsid w:val="00EF4784"/>
    <w:rsid w:val="00EF6E9E"/>
    <w:rsid w:val="00EF7204"/>
    <w:rsid w:val="00F00A03"/>
    <w:rsid w:val="00F00FB8"/>
    <w:rsid w:val="00F040D4"/>
    <w:rsid w:val="00F0470A"/>
    <w:rsid w:val="00F05340"/>
    <w:rsid w:val="00F07A0B"/>
    <w:rsid w:val="00F1004D"/>
    <w:rsid w:val="00F1270D"/>
    <w:rsid w:val="00F14E25"/>
    <w:rsid w:val="00F17776"/>
    <w:rsid w:val="00F221C6"/>
    <w:rsid w:val="00F22E50"/>
    <w:rsid w:val="00F23173"/>
    <w:rsid w:val="00F26C80"/>
    <w:rsid w:val="00F272B6"/>
    <w:rsid w:val="00F31166"/>
    <w:rsid w:val="00F3542D"/>
    <w:rsid w:val="00F3579A"/>
    <w:rsid w:val="00F423A7"/>
    <w:rsid w:val="00F44E4D"/>
    <w:rsid w:val="00F46DDA"/>
    <w:rsid w:val="00F470B0"/>
    <w:rsid w:val="00F50C60"/>
    <w:rsid w:val="00F52B1F"/>
    <w:rsid w:val="00F52BA7"/>
    <w:rsid w:val="00F5536A"/>
    <w:rsid w:val="00F664AB"/>
    <w:rsid w:val="00F66D10"/>
    <w:rsid w:val="00F7004A"/>
    <w:rsid w:val="00F702F1"/>
    <w:rsid w:val="00F70FAC"/>
    <w:rsid w:val="00F76800"/>
    <w:rsid w:val="00F76B9D"/>
    <w:rsid w:val="00F77002"/>
    <w:rsid w:val="00F77AD1"/>
    <w:rsid w:val="00F8144A"/>
    <w:rsid w:val="00F85282"/>
    <w:rsid w:val="00F9044B"/>
    <w:rsid w:val="00F957A8"/>
    <w:rsid w:val="00F96D87"/>
    <w:rsid w:val="00FA6C57"/>
    <w:rsid w:val="00FA7410"/>
    <w:rsid w:val="00FB199E"/>
    <w:rsid w:val="00FB228B"/>
    <w:rsid w:val="00FB438F"/>
    <w:rsid w:val="00FB6DAB"/>
    <w:rsid w:val="00FC2EB3"/>
    <w:rsid w:val="00FC3F69"/>
    <w:rsid w:val="00FC5941"/>
    <w:rsid w:val="00FC63D2"/>
    <w:rsid w:val="00FC6DF0"/>
    <w:rsid w:val="00FD06ED"/>
    <w:rsid w:val="00FD08EB"/>
    <w:rsid w:val="00FD725C"/>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B8"/>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styleId="Revisin">
    <w:name w:val="Revision"/>
    <w:hidden/>
    <w:uiPriority w:val="99"/>
    <w:semiHidden/>
    <w:rsid w:val="00221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 w:id="1450248098">
      <w:bodyDiv w:val="1"/>
      <w:marLeft w:val="0"/>
      <w:marRight w:val="0"/>
      <w:marTop w:val="0"/>
      <w:marBottom w:val="0"/>
      <w:divBdr>
        <w:top w:val="none" w:sz="0" w:space="0" w:color="auto"/>
        <w:left w:val="none" w:sz="0" w:space="0" w:color="auto"/>
        <w:bottom w:val="none" w:sz="0" w:space="0" w:color="auto"/>
        <w:right w:val="none" w:sz="0" w:space="0" w:color="auto"/>
      </w:divBdr>
      <w:divsChild>
        <w:div w:id="67692441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A48F-0DFA-415B-801C-2D60BBA2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DPNU SLB</cp:lastModifiedBy>
  <cp:revision>13</cp:revision>
  <cp:lastPrinted>2021-05-13T17:12:00Z</cp:lastPrinted>
  <dcterms:created xsi:type="dcterms:W3CDTF">2024-12-11T11:55:00Z</dcterms:created>
  <dcterms:modified xsi:type="dcterms:W3CDTF">2024-12-11T12:05:00Z</dcterms:modified>
</cp:coreProperties>
</file>