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12" w:rsidRPr="00B11AC1" w:rsidRDefault="00546F12" w:rsidP="009B5149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546F12" w:rsidRPr="00B11AC1" w:rsidRDefault="00546F12" w:rsidP="009B5149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9B5149" w:rsidRPr="00B11AC1" w:rsidRDefault="009B5149" w:rsidP="009B5149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11AC1">
        <w:rPr>
          <w:rFonts w:asciiTheme="minorHAnsi" w:hAnsiTheme="minorHAnsi" w:cstheme="minorHAnsi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40C30" wp14:editId="75048997">
                <wp:simplePos x="0" y="0"/>
                <wp:positionH relativeFrom="margin">
                  <wp:align>center</wp:align>
                </wp:positionH>
                <wp:positionV relativeFrom="paragraph">
                  <wp:posOffset>-104775</wp:posOffset>
                </wp:positionV>
                <wp:extent cx="1260000" cy="11880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1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49" w:rsidRDefault="00D616B2" w:rsidP="00AE61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8000" cy="1008000"/>
                                  <wp:effectExtent l="0" t="0" r="1905" b="190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minvu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000" cy="10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40C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8.25pt;width:99.2pt;height:93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" filled="f" stroked="f">
                <v:textbox>
                  <w:txbxContent>
                    <w:p w:rsidR="009B5149" w:rsidRDefault="00D616B2" w:rsidP="00AE61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8000" cy="1008000"/>
                            <wp:effectExtent l="0" t="0" r="1905" b="190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minvu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000" cy="10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149" w:rsidRPr="00B11AC1" w:rsidRDefault="009B5149" w:rsidP="009B5149">
      <w:pPr>
        <w:jc w:val="righ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B9793F" w:rsidRPr="00B11AC1" w:rsidRDefault="00B9793F" w:rsidP="009B5149">
      <w:pPr>
        <w:jc w:val="righ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CC3329" w:rsidRPr="00B11AC1" w:rsidRDefault="00CC3329" w:rsidP="009B5149">
      <w:pPr>
        <w:jc w:val="righ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9F4CB1" w:rsidRPr="00B11AC1" w:rsidRDefault="009F4CB1" w:rsidP="00AE61A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AE61AB" w:rsidRPr="00B11AC1" w:rsidRDefault="00AE61AB" w:rsidP="00AE61A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7A0C99" w:rsidRPr="00B11AC1" w:rsidRDefault="007A0C99" w:rsidP="00AE61A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B11AC1" w:rsidRDefault="00AE61AB" w:rsidP="00B11AC1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11AC1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PROPUESTA DE </w:t>
      </w:r>
      <w:r w:rsidR="00307365" w:rsidRPr="00B11AC1">
        <w:rPr>
          <w:rFonts w:asciiTheme="minorHAnsi" w:hAnsiTheme="minorHAnsi" w:cstheme="minorHAnsi"/>
          <w:b/>
          <w:color w:val="0070C0"/>
          <w:sz w:val="22"/>
          <w:szCs w:val="22"/>
        </w:rPr>
        <w:t>MODIFICACI</w:t>
      </w:r>
      <w:r w:rsidR="009F4CB1" w:rsidRPr="00B11AC1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ÓN </w:t>
      </w:r>
      <w:r w:rsidR="004F4CF9" w:rsidRPr="00B11AC1">
        <w:rPr>
          <w:rFonts w:asciiTheme="minorHAnsi" w:hAnsiTheme="minorHAnsi" w:cstheme="minorHAnsi"/>
          <w:b/>
          <w:color w:val="0070C0"/>
          <w:sz w:val="22"/>
          <w:szCs w:val="22"/>
        </w:rPr>
        <w:t>A LA ORDENANZA GENERAL DE URBANISMO</w:t>
      </w:r>
      <w:r w:rsidR="00585E37" w:rsidRPr="00B11AC1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Y CONSTRUCCIONES EN MATERIA DE EMPLAZAMIENTO DE INFRAESTRUCTURA ENERGÉTICA INOFENSIVA Y </w:t>
      </w:r>
    </w:p>
    <w:p w:rsidR="009F4CB1" w:rsidRPr="00B11AC1" w:rsidRDefault="00585E37" w:rsidP="00AE61A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11AC1">
        <w:rPr>
          <w:rFonts w:asciiTheme="minorHAnsi" w:hAnsiTheme="minorHAnsi" w:cstheme="minorHAnsi"/>
          <w:b/>
          <w:color w:val="0070C0"/>
          <w:sz w:val="22"/>
          <w:szCs w:val="22"/>
        </w:rPr>
        <w:t>ACTIVIDADES COMPLEMENTARIAS A DISTINTOS USOS DE SUELO</w:t>
      </w:r>
    </w:p>
    <w:p w:rsidR="001A501A" w:rsidRPr="00B11AC1" w:rsidRDefault="001A501A" w:rsidP="00AE61A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46F12" w:rsidRPr="00B11AC1" w:rsidRDefault="00546F12" w:rsidP="00AE61A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5B29" w:rsidRPr="00B11AC1" w:rsidRDefault="003F3A88" w:rsidP="00AE61A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1AC1">
        <w:rPr>
          <w:rFonts w:asciiTheme="minorHAnsi" w:hAnsiTheme="minorHAnsi" w:cstheme="minorHAnsi"/>
          <w:sz w:val="22"/>
          <w:szCs w:val="22"/>
        </w:rPr>
        <w:t xml:space="preserve">D E P A R T A M E N T O </w:t>
      </w:r>
      <w:r w:rsidR="004C3E7D" w:rsidRPr="00B11AC1">
        <w:rPr>
          <w:rFonts w:asciiTheme="minorHAnsi" w:hAnsiTheme="minorHAnsi" w:cstheme="minorHAnsi"/>
          <w:sz w:val="22"/>
          <w:szCs w:val="22"/>
        </w:rPr>
        <w:t xml:space="preserve"> </w:t>
      </w:r>
      <w:r w:rsidRPr="00B11AC1">
        <w:rPr>
          <w:rFonts w:asciiTheme="minorHAnsi" w:hAnsiTheme="minorHAnsi" w:cstheme="minorHAnsi"/>
          <w:sz w:val="22"/>
          <w:szCs w:val="22"/>
        </w:rPr>
        <w:t xml:space="preserve"> D E </w:t>
      </w:r>
      <w:r w:rsidR="004C3E7D" w:rsidRPr="00B11AC1">
        <w:rPr>
          <w:rFonts w:asciiTheme="minorHAnsi" w:hAnsiTheme="minorHAnsi" w:cstheme="minorHAnsi"/>
          <w:sz w:val="22"/>
          <w:szCs w:val="22"/>
        </w:rPr>
        <w:t xml:space="preserve"> </w:t>
      </w:r>
      <w:r w:rsidR="00CD2651" w:rsidRPr="00B11AC1">
        <w:rPr>
          <w:rFonts w:asciiTheme="minorHAnsi" w:hAnsiTheme="minorHAnsi" w:cstheme="minorHAnsi"/>
          <w:sz w:val="22"/>
          <w:szCs w:val="22"/>
        </w:rPr>
        <w:t xml:space="preserve"> P L A N I F I C A C I </w:t>
      </w:r>
      <w:proofErr w:type="spellStart"/>
      <w:r w:rsidR="00CD2651" w:rsidRPr="00B11AC1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B11AC1">
        <w:rPr>
          <w:rFonts w:asciiTheme="minorHAnsi" w:hAnsiTheme="minorHAnsi" w:cstheme="minorHAnsi"/>
          <w:sz w:val="22"/>
          <w:szCs w:val="22"/>
        </w:rPr>
        <w:t xml:space="preserve"> N  </w:t>
      </w:r>
      <w:r w:rsidR="004C3E7D" w:rsidRPr="00B11AC1">
        <w:rPr>
          <w:rFonts w:asciiTheme="minorHAnsi" w:hAnsiTheme="minorHAnsi" w:cstheme="minorHAnsi"/>
          <w:sz w:val="22"/>
          <w:szCs w:val="22"/>
        </w:rPr>
        <w:t xml:space="preserve"> </w:t>
      </w:r>
      <w:r w:rsidRPr="00B11AC1">
        <w:rPr>
          <w:rFonts w:asciiTheme="minorHAnsi" w:hAnsiTheme="minorHAnsi" w:cstheme="minorHAnsi"/>
          <w:sz w:val="22"/>
          <w:szCs w:val="22"/>
        </w:rPr>
        <w:t xml:space="preserve">Y </w:t>
      </w:r>
      <w:r w:rsidR="004C3E7D" w:rsidRPr="00B11AC1">
        <w:rPr>
          <w:rFonts w:asciiTheme="minorHAnsi" w:hAnsiTheme="minorHAnsi" w:cstheme="minorHAnsi"/>
          <w:sz w:val="22"/>
          <w:szCs w:val="22"/>
        </w:rPr>
        <w:t xml:space="preserve"> </w:t>
      </w:r>
      <w:r w:rsidRPr="00B11AC1">
        <w:rPr>
          <w:rFonts w:asciiTheme="minorHAnsi" w:hAnsiTheme="minorHAnsi" w:cstheme="minorHAnsi"/>
          <w:sz w:val="22"/>
          <w:szCs w:val="22"/>
        </w:rPr>
        <w:t xml:space="preserve"> N O R M A S</w:t>
      </w:r>
      <w:r w:rsidR="004C3E7D" w:rsidRPr="00B11AC1">
        <w:rPr>
          <w:rFonts w:asciiTheme="minorHAnsi" w:hAnsiTheme="minorHAnsi" w:cstheme="minorHAnsi"/>
          <w:sz w:val="22"/>
          <w:szCs w:val="22"/>
        </w:rPr>
        <w:t xml:space="preserve"> </w:t>
      </w:r>
      <w:r w:rsidR="00605713" w:rsidRPr="00B11AC1">
        <w:rPr>
          <w:rFonts w:asciiTheme="minorHAnsi" w:hAnsiTheme="minorHAnsi" w:cstheme="minorHAnsi"/>
          <w:sz w:val="22"/>
          <w:szCs w:val="22"/>
        </w:rPr>
        <w:t xml:space="preserve">  U R B A N A S</w:t>
      </w:r>
    </w:p>
    <w:p w:rsidR="00564BEF" w:rsidRPr="00B11AC1" w:rsidRDefault="00564BEF" w:rsidP="00AE61A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1AC1">
        <w:rPr>
          <w:rFonts w:asciiTheme="minorHAnsi" w:hAnsiTheme="minorHAnsi" w:cstheme="minorHAnsi"/>
          <w:sz w:val="22"/>
          <w:szCs w:val="22"/>
        </w:rPr>
        <w:t xml:space="preserve">D I V I S I </w:t>
      </w:r>
      <w:proofErr w:type="spellStart"/>
      <w:r w:rsidRPr="00B11AC1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B11AC1">
        <w:rPr>
          <w:rFonts w:asciiTheme="minorHAnsi" w:hAnsiTheme="minorHAnsi" w:cstheme="minorHAnsi"/>
          <w:sz w:val="22"/>
          <w:szCs w:val="22"/>
        </w:rPr>
        <w:t xml:space="preserve"> N   D E   D E S A R </w:t>
      </w:r>
      <w:proofErr w:type="spellStart"/>
      <w:r w:rsidRPr="00B11AC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B11AC1">
        <w:rPr>
          <w:rFonts w:asciiTheme="minorHAnsi" w:hAnsiTheme="minorHAnsi" w:cstheme="minorHAnsi"/>
          <w:sz w:val="22"/>
          <w:szCs w:val="22"/>
        </w:rPr>
        <w:t xml:space="preserve"> O L </w:t>
      </w:r>
      <w:proofErr w:type="spellStart"/>
      <w:r w:rsidRPr="00B11AC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B11AC1">
        <w:rPr>
          <w:rFonts w:asciiTheme="minorHAnsi" w:hAnsiTheme="minorHAnsi" w:cstheme="minorHAnsi"/>
          <w:sz w:val="22"/>
          <w:szCs w:val="22"/>
        </w:rPr>
        <w:t xml:space="preserve"> O   U R B A N O</w:t>
      </w:r>
    </w:p>
    <w:p w:rsidR="00AE61AB" w:rsidRPr="00B11AC1" w:rsidRDefault="00AE61AB" w:rsidP="00D616B2">
      <w:pPr>
        <w:tabs>
          <w:tab w:val="left" w:pos="31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35B29" w:rsidRPr="00B11AC1" w:rsidRDefault="00D616B2" w:rsidP="00D616B2">
      <w:pPr>
        <w:tabs>
          <w:tab w:val="left" w:pos="316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1AC1">
        <w:rPr>
          <w:rFonts w:asciiTheme="minorHAnsi" w:hAnsiTheme="minorHAnsi" w:cstheme="minorHAnsi"/>
          <w:sz w:val="22"/>
          <w:szCs w:val="22"/>
        </w:rPr>
        <w:tab/>
      </w:r>
    </w:p>
    <w:p w:rsidR="00546F12" w:rsidRPr="00B11AC1" w:rsidRDefault="00546F12" w:rsidP="00D616B2">
      <w:pPr>
        <w:tabs>
          <w:tab w:val="left" w:pos="31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35B29" w:rsidRPr="00C90FBC" w:rsidRDefault="00CD2651" w:rsidP="00C90FBC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C90FBC">
        <w:rPr>
          <w:rFonts w:asciiTheme="minorHAnsi" w:hAnsiTheme="minorHAnsi" w:cstheme="minorHAnsi"/>
          <w:b/>
          <w:color w:val="0070C0"/>
          <w:sz w:val="22"/>
          <w:szCs w:val="22"/>
        </w:rPr>
        <w:t>INTRODUCCIÓ</w:t>
      </w:r>
      <w:r w:rsidR="00E35B29" w:rsidRPr="00C90FBC">
        <w:rPr>
          <w:rFonts w:asciiTheme="minorHAnsi" w:hAnsiTheme="minorHAnsi" w:cstheme="minorHAnsi"/>
          <w:b/>
          <w:color w:val="0070C0"/>
          <w:sz w:val="22"/>
          <w:szCs w:val="22"/>
        </w:rPr>
        <w:t>N</w:t>
      </w:r>
      <w:r w:rsidR="00E35B29" w:rsidRPr="00C90FB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E35B29" w:rsidRPr="00B11AC1" w:rsidRDefault="00E35B29" w:rsidP="00E35B29">
      <w:pPr>
        <w:pStyle w:val="Prrafodelista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FBC" w:rsidRDefault="00B9723A" w:rsidP="00C90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AC1">
        <w:rPr>
          <w:rFonts w:asciiTheme="minorHAnsi" w:hAnsiTheme="minorHAnsi" w:cstheme="minorHAnsi"/>
          <w:sz w:val="22"/>
          <w:szCs w:val="22"/>
        </w:rPr>
        <w:t>La propuesta de modificación al D.S N° 47 (V. y U.), de 1992</w:t>
      </w:r>
      <w:r w:rsidR="00B11AC1">
        <w:rPr>
          <w:rFonts w:asciiTheme="minorHAnsi" w:hAnsiTheme="minorHAnsi" w:cstheme="minorHAnsi"/>
          <w:sz w:val="22"/>
          <w:szCs w:val="22"/>
        </w:rPr>
        <w:t>,</w:t>
      </w:r>
      <w:r w:rsidRPr="00B11AC1">
        <w:rPr>
          <w:rFonts w:asciiTheme="minorHAnsi" w:hAnsiTheme="minorHAnsi" w:cstheme="minorHAnsi"/>
          <w:sz w:val="22"/>
          <w:szCs w:val="22"/>
        </w:rPr>
        <w:t xml:space="preserve"> Ordenanza General de Urbanismo y Construcciones (OGUC) que se somete </w:t>
      </w:r>
      <w:r w:rsidR="00CE46E3" w:rsidRPr="00B11AC1">
        <w:rPr>
          <w:rFonts w:asciiTheme="minorHAnsi" w:hAnsiTheme="minorHAnsi" w:cstheme="minorHAnsi"/>
          <w:sz w:val="22"/>
          <w:szCs w:val="22"/>
        </w:rPr>
        <w:t xml:space="preserve">actualmente </w:t>
      </w:r>
      <w:r w:rsidRPr="00B11AC1">
        <w:rPr>
          <w:rFonts w:asciiTheme="minorHAnsi" w:hAnsiTheme="minorHAnsi" w:cstheme="minorHAnsi"/>
          <w:sz w:val="22"/>
          <w:szCs w:val="22"/>
        </w:rPr>
        <w:t xml:space="preserve">a consulta pública, tiene por propósito </w:t>
      </w:r>
      <w:r w:rsidR="00B11AC1">
        <w:rPr>
          <w:rFonts w:asciiTheme="minorHAnsi" w:hAnsiTheme="minorHAnsi" w:cstheme="minorHAnsi"/>
          <w:sz w:val="22"/>
          <w:szCs w:val="22"/>
        </w:rPr>
        <w:t xml:space="preserve">incorporar ajustes a la normativa </w:t>
      </w:r>
      <w:r w:rsidR="00C90FBC">
        <w:rPr>
          <w:rFonts w:asciiTheme="minorHAnsi" w:hAnsiTheme="minorHAnsi" w:cstheme="minorHAnsi"/>
          <w:sz w:val="22"/>
          <w:szCs w:val="22"/>
        </w:rPr>
        <w:t xml:space="preserve">para factibilizar </w:t>
      </w:r>
      <w:r w:rsidR="00B11AC1">
        <w:rPr>
          <w:rFonts w:asciiTheme="minorHAnsi" w:hAnsiTheme="minorHAnsi" w:cstheme="minorHAnsi"/>
          <w:sz w:val="22"/>
          <w:szCs w:val="22"/>
        </w:rPr>
        <w:t>el emplazamiento de infraestructura energética calificada como inofensiva</w:t>
      </w:r>
      <w:r w:rsidR="00C90FBC">
        <w:rPr>
          <w:rFonts w:asciiTheme="minorHAnsi" w:hAnsiTheme="minorHAnsi" w:cstheme="minorHAnsi"/>
          <w:sz w:val="22"/>
          <w:szCs w:val="22"/>
        </w:rPr>
        <w:t>,</w:t>
      </w:r>
      <w:r w:rsidR="00B11AC1">
        <w:rPr>
          <w:rFonts w:asciiTheme="minorHAnsi" w:hAnsiTheme="minorHAnsi" w:cstheme="minorHAnsi"/>
          <w:sz w:val="22"/>
          <w:szCs w:val="22"/>
        </w:rPr>
        <w:t xml:space="preserve"> en terrenos en los cuales se admita el uso de suelo de</w:t>
      </w:r>
      <w:r w:rsidR="00C90FBC">
        <w:rPr>
          <w:rFonts w:asciiTheme="minorHAnsi" w:hAnsiTheme="minorHAnsi" w:cstheme="minorHAnsi"/>
          <w:sz w:val="22"/>
          <w:szCs w:val="22"/>
        </w:rPr>
        <w:t xml:space="preserve"> equipamiento</w:t>
      </w:r>
      <w:r w:rsidR="00B11AC1">
        <w:rPr>
          <w:rFonts w:asciiTheme="minorHAnsi" w:hAnsiTheme="minorHAnsi" w:cstheme="minorHAnsi"/>
          <w:sz w:val="22"/>
          <w:szCs w:val="22"/>
        </w:rPr>
        <w:t xml:space="preserve"> de clase servicios o comercio; así como admitir en proyectos de infraestructura y actividad </w:t>
      </w:r>
      <w:r w:rsidR="00C90FBC">
        <w:rPr>
          <w:rFonts w:asciiTheme="minorHAnsi" w:hAnsiTheme="minorHAnsi" w:cstheme="minorHAnsi"/>
          <w:sz w:val="22"/>
          <w:szCs w:val="22"/>
        </w:rPr>
        <w:t>productiva</w:t>
      </w:r>
      <w:r w:rsidR="00B11AC1">
        <w:rPr>
          <w:rFonts w:asciiTheme="minorHAnsi" w:hAnsiTheme="minorHAnsi" w:cstheme="minorHAnsi"/>
          <w:sz w:val="22"/>
          <w:szCs w:val="22"/>
        </w:rPr>
        <w:t xml:space="preserve">, la instalación de edificaciones con usos de suelo complementarios, según </w:t>
      </w:r>
      <w:r w:rsidR="00C90FBC">
        <w:rPr>
          <w:rFonts w:asciiTheme="minorHAnsi" w:hAnsiTheme="minorHAnsi" w:cstheme="minorHAnsi"/>
          <w:sz w:val="22"/>
          <w:szCs w:val="22"/>
        </w:rPr>
        <w:t>se</w:t>
      </w:r>
      <w:r w:rsidR="00B11AC1">
        <w:rPr>
          <w:rFonts w:asciiTheme="minorHAnsi" w:hAnsiTheme="minorHAnsi" w:cstheme="minorHAnsi"/>
          <w:sz w:val="22"/>
          <w:szCs w:val="22"/>
        </w:rPr>
        <w:t xml:space="preserve"> detalla </w:t>
      </w:r>
      <w:r w:rsidR="00C90FBC">
        <w:rPr>
          <w:rFonts w:asciiTheme="minorHAnsi" w:hAnsiTheme="minorHAnsi" w:cstheme="minorHAnsi"/>
          <w:sz w:val="22"/>
          <w:szCs w:val="22"/>
        </w:rPr>
        <w:t>a continuación:</w:t>
      </w:r>
    </w:p>
    <w:p w:rsidR="00546F12" w:rsidRPr="00B11AC1" w:rsidRDefault="00546F12" w:rsidP="00C90F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6F12" w:rsidRPr="00B11AC1" w:rsidRDefault="00546F12" w:rsidP="00173115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:rsidR="00E568CA" w:rsidRPr="00C90FBC" w:rsidRDefault="00016D46" w:rsidP="00C90FBC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C90FBC">
        <w:rPr>
          <w:rFonts w:asciiTheme="minorHAnsi" w:hAnsiTheme="minorHAnsi" w:cstheme="minorHAnsi"/>
          <w:b/>
          <w:color w:val="0070C0"/>
          <w:sz w:val="22"/>
          <w:szCs w:val="22"/>
        </w:rPr>
        <w:t>PRINCIPALES ASPECTOS DE LA MODIFICACIÓN</w:t>
      </w:r>
    </w:p>
    <w:p w:rsidR="00173115" w:rsidRPr="00B11AC1" w:rsidRDefault="00173115" w:rsidP="0044327C">
      <w:pPr>
        <w:pStyle w:val="Prrafodelista"/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:rsidR="006E590B" w:rsidRPr="00C90FBC" w:rsidRDefault="00C90FBC" w:rsidP="00C90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54961899"/>
      <w:r>
        <w:rPr>
          <w:rFonts w:asciiTheme="minorHAnsi" w:hAnsiTheme="minorHAnsi" w:cstheme="minorHAnsi"/>
          <w:sz w:val="22"/>
          <w:szCs w:val="22"/>
        </w:rPr>
        <w:t>A</w:t>
      </w:r>
      <w:r w:rsidR="00B70539" w:rsidRPr="00C90FBC">
        <w:rPr>
          <w:rFonts w:asciiTheme="minorHAnsi" w:hAnsiTheme="minorHAnsi" w:cstheme="minorHAnsi"/>
          <w:sz w:val="22"/>
          <w:szCs w:val="22"/>
        </w:rPr>
        <w:t xml:space="preserve"> modo de síntesis, l</w:t>
      </w:r>
      <w:r w:rsidR="008C39A7" w:rsidRPr="00C90FBC">
        <w:rPr>
          <w:rFonts w:asciiTheme="minorHAnsi" w:hAnsiTheme="minorHAnsi" w:cstheme="minorHAnsi"/>
          <w:sz w:val="22"/>
          <w:szCs w:val="22"/>
        </w:rPr>
        <w:t>as modificaciones abor</w:t>
      </w:r>
      <w:r w:rsidR="00BD4064" w:rsidRPr="00C90FBC"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t>dadas en el presente d</w:t>
      </w:r>
      <w:r w:rsidR="008C39A7" w:rsidRPr="00C90FBC">
        <w:rPr>
          <w:rFonts w:asciiTheme="minorHAnsi" w:hAnsiTheme="minorHAnsi" w:cstheme="minorHAnsi"/>
          <w:sz w:val="22"/>
          <w:szCs w:val="22"/>
        </w:rPr>
        <w:t xml:space="preserve">ecreto </w:t>
      </w:r>
      <w:r w:rsidR="006E590B" w:rsidRPr="00C90FBC">
        <w:rPr>
          <w:rFonts w:asciiTheme="minorHAnsi" w:hAnsiTheme="minorHAnsi" w:cstheme="minorHAnsi"/>
          <w:sz w:val="22"/>
          <w:szCs w:val="22"/>
        </w:rPr>
        <w:t xml:space="preserve">se resumen </w:t>
      </w:r>
      <w:r w:rsidR="00546F12" w:rsidRPr="00C90FBC">
        <w:rPr>
          <w:rFonts w:asciiTheme="minorHAnsi" w:hAnsiTheme="minorHAnsi" w:cstheme="minorHAnsi"/>
          <w:sz w:val="22"/>
          <w:szCs w:val="22"/>
        </w:rPr>
        <w:t>en las</w:t>
      </w:r>
      <w:r w:rsidR="006E590B" w:rsidRPr="00C90FBC">
        <w:rPr>
          <w:rFonts w:asciiTheme="minorHAnsi" w:hAnsiTheme="minorHAnsi" w:cstheme="minorHAnsi"/>
          <w:sz w:val="22"/>
          <w:szCs w:val="22"/>
        </w:rPr>
        <w:t xml:space="preserve"> siguiente</w:t>
      </w:r>
      <w:r w:rsidR="00546F12" w:rsidRPr="00C90FBC">
        <w:rPr>
          <w:rFonts w:asciiTheme="minorHAnsi" w:hAnsiTheme="minorHAnsi" w:cstheme="minorHAnsi"/>
          <w:sz w:val="22"/>
          <w:szCs w:val="22"/>
        </w:rPr>
        <w:t>s acciones</w:t>
      </w:r>
      <w:r w:rsidR="006E590B" w:rsidRPr="00C90FBC">
        <w:rPr>
          <w:rFonts w:asciiTheme="minorHAnsi" w:hAnsiTheme="minorHAnsi" w:cstheme="minorHAnsi"/>
          <w:sz w:val="22"/>
          <w:szCs w:val="22"/>
        </w:rPr>
        <w:t>:</w:t>
      </w:r>
    </w:p>
    <w:p w:rsidR="005F5164" w:rsidRPr="00B11AC1" w:rsidRDefault="005F5164" w:rsidP="001C3290">
      <w:pPr>
        <w:pStyle w:val="Prrafodelista"/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:rsidR="00CE46E3" w:rsidRPr="00B11AC1" w:rsidRDefault="00854CA0" w:rsidP="00CE46E3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AC1">
        <w:rPr>
          <w:rFonts w:asciiTheme="minorHAnsi" w:hAnsiTheme="minorHAnsi" w:cstheme="minorHAnsi"/>
          <w:b/>
          <w:sz w:val="22"/>
          <w:szCs w:val="22"/>
        </w:rPr>
        <w:t>Se</w:t>
      </w:r>
      <w:r w:rsidR="006E590B" w:rsidRPr="00B11A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46E3" w:rsidRPr="00B11AC1">
        <w:rPr>
          <w:rFonts w:asciiTheme="minorHAnsi" w:hAnsiTheme="minorHAnsi" w:cstheme="minorHAnsi"/>
          <w:b/>
          <w:sz w:val="22"/>
          <w:szCs w:val="22"/>
        </w:rPr>
        <w:t>realizan ajustes formales</w:t>
      </w:r>
      <w:r w:rsidR="00733608" w:rsidRPr="00B11AC1">
        <w:rPr>
          <w:rFonts w:asciiTheme="minorHAnsi" w:hAnsiTheme="minorHAnsi" w:cstheme="minorHAnsi"/>
          <w:b/>
          <w:sz w:val="22"/>
          <w:szCs w:val="22"/>
        </w:rPr>
        <w:t xml:space="preserve"> vinculados a la coherencia interna de la </w:t>
      </w:r>
      <w:r w:rsidR="00B11AC1" w:rsidRPr="00B11AC1">
        <w:rPr>
          <w:rFonts w:asciiTheme="minorHAnsi" w:hAnsiTheme="minorHAnsi" w:cstheme="minorHAnsi"/>
          <w:b/>
          <w:sz w:val="22"/>
          <w:szCs w:val="22"/>
        </w:rPr>
        <w:t>Ordenanza, de</w:t>
      </w:r>
      <w:r w:rsidR="00CE46E3" w:rsidRPr="00B11AC1">
        <w:rPr>
          <w:rFonts w:asciiTheme="minorHAnsi" w:hAnsiTheme="minorHAnsi" w:cstheme="minorHAnsi"/>
          <w:b/>
          <w:sz w:val="22"/>
          <w:szCs w:val="22"/>
        </w:rPr>
        <w:t xml:space="preserve"> acuerdo al siguiente detalle</w:t>
      </w:r>
      <w:r w:rsidR="00CE46E3" w:rsidRPr="00B11AC1">
        <w:rPr>
          <w:rFonts w:asciiTheme="minorHAnsi" w:hAnsiTheme="minorHAnsi" w:cstheme="minorHAnsi"/>
          <w:sz w:val="22"/>
          <w:szCs w:val="22"/>
        </w:rPr>
        <w:t>:</w:t>
      </w:r>
    </w:p>
    <w:p w:rsidR="00CE46E3" w:rsidRPr="00B11AC1" w:rsidRDefault="00CE46E3" w:rsidP="00CE46E3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3608" w:rsidRPr="00B11AC1" w:rsidRDefault="00CE46E3" w:rsidP="00733608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AC1">
        <w:rPr>
          <w:rFonts w:asciiTheme="minorHAnsi" w:hAnsiTheme="minorHAnsi" w:cstheme="minorHAnsi"/>
          <w:sz w:val="22"/>
          <w:szCs w:val="22"/>
        </w:rPr>
        <w:t xml:space="preserve"> </w:t>
      </w:r>
      <w:r w:rsidR="00C90FBC">
        <w:rPr>
          <w:rFonts w:asciiTheme="minorHAnsi" w:hAnsiTheme="minorHAnsi" w:cstheme="minorHAnsi"/>
          <w:sz w:val="22"/>
          <w:szCs w:val="22"/>
        </w:rPr>
        <w:t>Se modifica el numeral 4° del</w:t>
      </w:r>
      <w:r w:rsidRPr="00B11AC1">
        <w:rPr>
          <w:rFonts w:asciiTheme="minorHAnsi" w:hAnsiTheme="minorHAnsi" w:cstheme="minorHAnsi"/>
          <w:sz w:val="22"/>
          <w:szCs w:val="22"/>
        </w:rPr>
        <w:t xml:space="preserve"> artículo 2.1.19</w:t>
      </w:r>
      <w:r w:rsidR="00733608" w:rsidRPr="00B11AC1">
        <w:rPr>
          <w:rFonts w:asciiTheme="minorHAnsi" w:hAnsiTheme="minorHAnsi" w:cstheme="minorHAnsi"/>
          <w:sz w:val="22"/>
          <w:szCs w:val="22"/>
        </w:rPr>
        <w:t xml:space="preserve"> de la OGUC,</w:t>
      </w:r>
      <w:r w:rsidRPr="00B11AC1">
        <w:rPr>
          <w:rFonts w:asciiTheme="minorHAnsi" w:hAnsiTheme="minorHAnsi" w:cstheme="minorHAnsi"/>
          <w:sz w:val="22"/>
          <w:szCs w:val="22"/>
        </w:rPr>
        <w:t xml:space="preserve"> </w:t>
      </w:r>
      <w:r w:rsidR="00733608" w:rsidRPr="00B11AC1">
        <w:rPr>
          <w:rFonts w:asciiTheme="minorHAnsi" w:hAnsiTheme="minorHAnsi" w:cstheme="minorHAnsi"/>
          <w:sz w:val="22"/>
          <w:szCs w:val="22"/>
        </w:rPr>
        <w:t>incorporando el término “infraestructura” a objeto de adecuar tal disposición a</w:t>
      </w:r>
      <w:r w:rsidRPr="00B11AC1">
        <w:rPr>
          <w:rFonts w:asciiTheme="minorHAnsi" w:hAnsiTheme="minorHAnsi" w:cstheme="minorHAnsi"/>
          <w:sz w:val="22"/>
          <w:szCs w:val="22"/>
        </w:rPr>
        <w:t xml:space="preserve"> la ley N° 20.943</w:t>
      </w:r>
      <w:r w:rsidR="00733608" w:rsidRPr="00B11AC1">
        <w:rPr>
          <w:rFonts w:asciiTheme="minorHAnsi" w:hAnsiTheme="minorHAnsi" w:cstheme="minorHAnsi"/>
          <w:sz w:val="22"/>
          <w:szCs w:val="22"/>
        </w:rPr>
        <w:t xml:space="preserve"> que modificó la ley General de Urbanismo y Construcciones, para especificar el tipo de infraestructura exenta de la obligación de contar con un permiso municipal, y en cuanto a las condiciones que deben cumplir las obras de infraestructura ejecutadas por el Estado.</w:t>
      </w:r>
    </w:p>
    <w:p w:rsidR="00733608" w:rsidRPr="00B11AC1" w:rsidRDefault="00733608" w:rsidP="00733608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733608" w:rsidRPr="00B11AC1" w:rsidRDefault="00733608" w:rsidP="00733608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AC1">
        <w:rPr>
          <w:rFonts w:asciiTheme="minorHAnsi" w:hAnsiTheme="minorHAnsi" w:cstheme="minorHAnsi"/>
          <w:sz w:val="22"/>
          <w:szCs w:val="22"/>
        </w:rPr>
        <w:t>Se traslada el inciso primero del artículo 2.4.2, incorporándose en similares términos un nuevo inciso final en el artículo 2.1.24 de la OGUC</w:t>
      </w:r>
      <w:r w:rsidR="00C90FBC">
        <w:rPr>
          <w:rFonts w:asciiTheme="minorHAnsi" w:hAnsiTheme="minorHAnsi" w:cstheme="minorHAnsi"/>
          <w:sz w:val="22"/>
          <w:szCs w:val="22"/>
        </w:rPr>
        <w:t>, por encontrarse la materia regulada asociada primordialmente a la norma urbanística de “usos de suelo”, y no estacionamiento</w:t>
      </w:r>
      <w:r w:rsidRPr="00B11AC1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733608" w:rsidRPr="00B11AC1" w:rsidRDefault="00733608" w:rsidP="00733608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733608" w:rsidRPr="00B11AC1" w:rsidRDefault="00733608" w:rsidP="00733608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AC1">
        <w:rPr>
          <w:rFonts w:asciiTheme="minorHAnsi" w:hAnsiTheme="minorHAnsi" w:cstheme="minorHAnsi"/>
          <w:b/>
          <w:sz w:val="22"/>
          <w:szCs w:val="22"/>
        </w:rPr>
        <w:t>Se modifica el artículo 2.1.28 de la OGUC</w:t>
      </w:r>
      <w:r w:rsidRPr="00B11AC1">
        <w:rPr>
          <w:rFonts w:asciiTheme="minorHAnsi" w:hAnsiTheme="minorHAnsi" w:cstheme="minorHAnsi"/>
          <w:sz w:val="22"/>
          <w:szCs w:val="22"/>
        </w:rPr>
        <w:t>:</w:t>
      </w:r>
    </w:p>
    <w:p w:rsidR="00733608" w:rsidRPr="00B11AC1" w:rsidRDefault="00733608" w:rsidP="00733608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3608" w:rsidRPr="00B11AC1" w:rsidRDefault="0023502E" w:rsidP="00733608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elimina del inciso segundo</w:t>
      </w:r>
      <w:r w:rsidR="00733608" w:rsidRPr="00B11AC1">
        <w:rPr>
          <w:rFonts w:asciiTheme="minorHAnsi" w:hAnsiTheme="minorHAnsi" w:cstheme="minorHAnsi"/>
          <w:sz w:val="22"/>
          <w:szCs w:val="22"/>
        </w:rPr>
        <w:t xml:space="preserve"> el párrafo “</w:t>
      </w:r>
      <w:r w:rsidR="00733608" w:rsidRPr="00B11AC1">
        <w:rPr>
          <w:rFonts w:asciiTheme="minorHAnsi" w:hAnsiTheme="minorHAnsi" w:cstheme="minorHAnsi"/>
          <w:i/>
          <w:sz w:val="22"/>
          <w:szCs w:val="22"/>
        </w:rPr>
        <w:t>previa autorización del Director de Obras Municipales cuando se acredite que no se producirán molestas al vecindario</w:t>
      </w:r>
      <w:r w:rsidR="00733608" w:rsidRPr="00B11AC1">
        <w:rPr>
          <w:rFonts w:asciiTheme="minorHAnsi" w:hAnsiTheme="minorHAnsi" w:cstheme="minorHAnsi"/>
          <w:sz w:val="22"/>
          <w:szCs w:val="22"/>
        </w:rPr>
        <w:t xml:space="preserve">”, por ser dicha referencia sobreabundante respecto a actividades productivas calificadas como inofensivas por </w:t>
      </w:r>
      <w:r w:rsidR="00EE0D62" w:rsidRPr="00B11AC1">
        <w:rPr>
          <w:rFonts w:asciiTheme="minorHAnsi" w:hAnsiTheme="minorHAnsi" w:cstheme="minorHAnsi"/>
          <w:sz w:val="22"/>
          <w:szCs w:val="22"/>
        </w:rPr>
        <w:t xml:space="preserve">la </w:t>
      </w:r>
      <w:r w:rsidR="00F32127" w:rsidRPr="00B11AC1">
        <w:rPr>
          <w:rFonts w:asciiTheme="minorHAnsi" w:hAnsiTheme="minorHAnsi" w:cstheme="minorHAnsi"/>
          <w:sz w:val="22"/>
          <w:szCs w:val="22"/>
        </w:rPr>
        <w:t>respectiva Secretaria Regional Ministerial de Salud.</w:t>
      </w:r>
    </w:p>
    <w:p w:rsidR="00F32127" w:rsidRPr="00B11AC1" w:rsidRDefault="00F32127" w:rsidP="00F32127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F32127" w:rsidRPr="00B11AC1" w:rsidRDefault="003F5644" w:rsidP="00733608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Se modifica el inciso cuarto</w:t>
      </w:r>
      <w:bookmarkStart w:id="1" w:name="_GoBack"/>
      <w:bookmarkEnd w:id="1"/>
      <w:r w:rsidR="00F32127" w:rsidRPr="00B11AC1">
        <w:rPr>
          <w:rFonts w:asciiTheme="minorHAnsi" w:hAnsiTheme="minorHAnsi" w:cstheme="minorHAnsi"/>
          <w:sz w:val="22"/>
          <w:szCs w:val="22"/>
        </w:rPr>
        <w:t>, incorporando la facultad del instrumento de planificación territorial que corresponda, para prohibir dentro de su territorio la aplicación del inciso segundo.</w:t>
      </w:r>
    </w:p>
    <w:p w:rsidR="00F32127" w:rsidRPr="00B11AC1" w:rsidRDefault="00F32127" w:rsidP="00F32127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F32127" w:rsidRPr="00B11AC1" w:rsidRDefault="003F5644" w:rsidP="00F32127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agrega un nuevo inciso quinto</w:t>
      </w:r>
      <w:r w:rsidR="00F32127" w:rsidRPr="00B11AC1">
        <w:rPr>
          <w:rFonts w:asciiTheme="minorHAnsi" w:hAnsiTheme="minorHAnsi" w:cstheme="minorHAnsi"/>
          <w:sz w:val="22"/>
          <w:szCs w:val="22"/>
        </w:rPr>
        <w:t xml:space="preserve"> con el objeto de admitir que los proyectos con uso de suelo actividad productiva, puedan considerar edificaciones destinados a uso de suelo equipamiento y residencia</w:t>
      </w:r>
      <w:r w:rsidR="00B11AC1" w:rsidRPr="00B11AC1">
        <w:rPr>
          <w:rFonts w:asciiTheme="minorHAnsi" w:hAnsiTheme="minorHAnsi" w:cstheme="minorHAnsi"/>
          <w:sz w:val="22"/>
          <w:szCs w:val="22"/>
        </w:rPr>
        <w:t>l</w:t>
      </w:r>
      <w:r w:rsidR="00F32127" w:rsidRPr="00B11AC1">
        <w:rPr>
          <w:rFonts w:asciiTheme="minorHAnsi" w:hAnsiTheme="minorHAnsi" w:cstheme="minorHAnsi"/>
          <w:sz w:val="22"/>
          <w:szCs w:val="22"/>
        </w:rPr>
        <w:t>, los cuales, para estos efectos, se considerarán complementarios al proyecto</w:t>
      </w:r>
      <w:r w:rsidR="008812C6">
        <w:rPr>
          <w:rFonts w:asciiTheme="minorHAnsi" w:hAnsiTheme="minorHAnsi" w:cstheme="minorHAnsi"/>
          <w:sz w:val="22"/>
          <w:szCs w:val="22"/>
        </w:rPr>
        <w:t>, bajo las condiciones que allí se indican</w:t>
      </w:r>
      <w:r w:rsidR="00F32127" w:rsidRPr="00B11AC1">
        <w:rPr>
          <w:rFonts w:asciiTheme="minorHAnsi" w:hAnsiTheme="minorHAnsi" w:cstheme="minorHAnsi"/>
          <w:sz w:val="22"/>
          <w:szCs w:val="22"/>
        </w:rPr>
        <w:t>.</w:t>
      </w:r>
    </w:p>
    <w:p w:rsidR="00F32127" w:rsidRPr="00B11AC1" w:rsidRDefault="00F32127" w:rsidP="00F32127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D6049D" w:rsidRPr="00B11AC1" w:rsidRDefault="00F32127" w:rsidP="00F32127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AC1">
        <w:rPr>
          <w:rFonts w:asciiTheme="minorHAnsi" w:hAnsiTheme="minorHAnsi" w:cstheme="minorHAnsi"/>
          <w:b/>
          <w:sz w:val="22"/>
          <w:szCs w:val="22"/>
        </w:rPr>
        <w:t>Se modifica el artículo 2.1.29 de la OGUC</w:t>
      </w:r>
      <w:r w:rsidRPr="00B11AC1">
        <w:rPr>
          <w:rFonts w:asciiTheme="minorHAnsi" w:hAnsiTheme="minorHAnsi" w:cstheme="minorHAnsi"/>
          <w:sz w:val="22"/>
          <w:szCs w:val="22"/>
        </w:rPr>
        <w:t>:</w:t>
      </w:r>
    </w:p>
    <w:p w:rsidR="00F32127" w:rsidRPr="00B11AC1" w:rsidRDefault="00F32127" w:rsidP="00F32127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2127" w:rsidRPr="00B11AC1" w:rsidRDefault="003F5644" w:rsidP="00F32127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modifica el inciso quinto</w:t>
      </w:r>
      <w:r w:rsidR="00F32127" w:rsidRPr="00B11AC1">
        <w:rPr>
          <w:rFonts w:asciiTheme="minorHAnsi" w:hAnsiTheme="minorHAnsi" w:cstheme="minorHAnsi"/>
          <w:sz w:val="22"/>
          <w:szCs w:val="22"/>
        </w:rPr>
        <w:t xml:space="preserve"> en el sentido de asimilar </w:t>
      </w:r>
      <w:r w:rsidR="00EE0D62" w:rsidRPr="00B11AC1">
        <w:rPr>
          <w:rFonts w:asciiTheme="minorHAnsi" w:hAnsiTheme="minorHAnsi" w:cstheme="minorHAnsi"/>
          <w:sz w:val="22"/>
          <w:szCs w:val="22"/>
        </w:rPr>
        <w:t>el uso de suelo de infraestructura de tipo energética que hubiese sido calificada como inofensiva por respectiva Secretaria Regional Ministerial de Salud, al uso de suelo de clase comercio o servicio, salvo que dicho destino tuviera restricción expresa en el instrumento de planificación territorial respectivo.</w:t>
      </w:r>
    </w:p>
    <w:p w:rsidR="00B11AC1" w:rsidRPr="00B11AC1" w:rsidRDefault="00B11AC1" w:rsidP="00B11AC1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497E72" w:rsidRDefault="00497E72" w:rsidP="00E06A8C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elimina el actual inciso sexto, conforme a las modificaciones introducidas en los artículos 22 y 116 de la Ley General de Urbanismo y Construcciones mediante la ley N° 20.943</w:t>
      </w:r>
      <w:r w:rsidRPr="00B11AC1">
        <w:rPr>
          <w:rFonts w:asciiTheme="minorHAnsi" w:hAnsiTheme="minorHAnsi" w:cstheme="minorHAnsi"/>
          <w:sz w:val="22"/>
          <w:szCs w:val="22"/>
        </w:rPr>
        <w:t>, para especificar el tipo de infraestructura exenta de la obligación de contar con un permiso municipal, y en cuanto a las condiciones que deben cumplir las obras de infraestructura ejecutadas por el Estado.</w:t>
      </w:r>
    </w:p>
    <w:p w:rsidR="00497E72" w:rsidRPr="00497E72" w:rsidRDefault="00497E72" w:rsidP="00497E72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B11AC1" w:rsidRPr="00B11AC1" w:rsidRDefault="00EE0D62" w:rsidP="00E06A8C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AC1">
        <w:rPr>
          <w:rFonts w:asciiTheme="minorHAnsi" w:hAnsiTheme="minorHAnsi" w:cstheme="minorHAnsi"/>
          <w:sz w:val="22"/>
          <w:szCs w:val="22"/>
        </w:rPr>
        <w:t xml:space="preserve">Se agrega un nuevo inciso </w:t>
      </w:r>
      <w:r w:rsidR="003F5644">
        <w:rPr>
          <w:rFonts w:asciiTheme="minorHAnsi" w:hAnsiTheme="minorHAnsi" w:cstheme="minorHAnsi"/>
          <w:sz w:val="22"/>
          <w:szCs w:val="22"/>
        </w:rPr>
        <w:t>sexto</w:t>
      </w:r>
      <w:r w:rsidR="00B11AC1" w:rsidRPr="00B11AC1">
        <w:rPr>
          <w:rFonts w:asciiTheme="minorHAnsi" w:hAnsiTheme="minorHAnsi" w:cstheme="minorHAnsi"/>
          <w:sz w:val="22"/>
          <w:szCs w:val="22"/>
        </w:rPr>
        <w:t xml:space="preserve"> con el objeto de admitir que los proyectos de infraestructura puedan considerar edificaciones </w:t>
      </w:r>
      <w:r w:rsidR="008812C6">
        <w:rPr>
          <w:rFonts w:asciiTheme="minorHAnsi" w:hAnsiTheme="minorHAnsi" w:cstheme="minorHAnsi"/>
          <w:iCs/>
          <w:sz w:val="22"/>
          <w:szCs w:val="22"/>
        </w:rPr>
        <w:t>destinada</w:t>
      </w:r>
      <w:r w:rsidR="00B11AC1" w:rsidRPr="00B11AC1">
        <w:rPr>
          <w:rFonts w:asciiTheme="minorHAnsi" w:hAnsiTheme="minorHAnsi" w:cstheme="minorHAnsi"/>
          <w:iCs/>
          <w:sz w:val="22"/>
          <w:szCs w:val="22"/>
        </w:rPr>
        <w:t>s a otros usos complementarios al proyecto</w:t>
      </w:r>
      <w:r w:rsidR="008812C6">
        <w:rPr>
          <w:rFonts w:asciiTheme="minorHAnsi" w:hAnsiTheme="minorHAnsi" w:cstheme="minorHAnsi"/>
          <w:iCs/>
          <w:sz w:val="22"/>
          <w:szCs w:val="22"/>
        </w:rPr>
        <w:t>, entendiendo</w:t>
      </w:r>
      <w:r w:rsidR="00B11AC1" w:rsidRPr="00B11AC1">
        <w:rPr>
          <w:rFonts w:asciiTheme="minorHAnsi" w:hAnsiTheme="minorHAnsi" w:cstheme="minorHAnsi"/>
          <w:iCs/>
          <w:sz w:val="22"/>
          <w:szCs w:val="22"/>
        </w:rPr>
        <w:t xml:space="preserve"> por estos los de equipamiento, residencial y de actividades productivas</w:t>
      </w:r>
      <w:r w:rsidR="008812C6">
        <w:rPr>
          <w:rFonts w:asciiTheme="minorHAnsi" w:hAnsiTheme="minorHAnsi" w:cstheme="minorHAnsi"/>
          <w:iCs/>
          <w:sz w:val="22"/>
          <w:szCs w:val="22"/>
        </w:rPr>
        <w:t>, bajo las condiciones que allí se indican</w:t>
      </w:r>
      <w:r w:rsidR="00B11AC1" w:rsidRPr="00B11AC1">
        <w:rPr>
          <w:rFonts w:asciiTheme="minorHAnsi" w:hAnsiTheme="minorHAnsi" w:cstheme="minorHAnsi"/>
          <w:iCs/>
          <w:sz w:val="22"/>
          <w:szCs w:val="22"/>
        </w:rPr>
        <w:t>.</w:t>
      </w:r>
    </w:p>
    <w:p w:rsidR="00B11AC1" w:rsidRPr="00B11AC1" w:rsidRDefault="00B11AC1" w:rsidP="00B11AC1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180D32" w:rsidRDefault="00180D32" w:rsidP="002906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12C6" w:rsidRPr="00B11AC1" w:rsidRDefault="008812C6" w:rsidP="008812C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***</w:t>
      </w:r>
    </w:p>
    <w:sectPr w:rsidR="008812C6" w:rsidRPr="00B11AC1" w:rsidSect="0029069D">
      <w:headerReference w:type="default" r:id="rId10"/>
      <w:footerReference w:type="default" r:id="rId11"/>
      <w:pgSz w:w="12242" w:h="18722" w:code="14"/>
      <w:pgMar w:top="1418" w:right="1531" w:bottom="1418" w:left="1531" w:header="56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1C" w:rsidRDefault="0033081C" w:rsidP="00887BA2">
      <w:r>
        <w:separator/>
      </w:r>
    </w:p>
  </w:endnote>
  <w:endnote w:type="continuationSeparator" w:id="0">
    <w:p w:rsidR="0033081C" w:rsidRDefault="0033081C" w:rsidP="0088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388916470"/>
      <w:docPartObj>
        <w:docPartGallery w:val="Page Numbers (Bottom of Page)"/>
        <w:docPartUnique/>
      </w:docPartObj>
    </w:sdtPr>
    <w:sdtEndPr/>
    <w:sdtContent>
      <w:p w:rsidR="00887BA2" w:rsidRPr="00887BA2" w:rsidRDefault="009B5149" w:rsidP="009B5149">
        <w:pPr>
          <w:pStyle w:val="Piedepgina"/>
          <w:tabs>
            <w:tab w:val="clear" w:pos="8838"/>
            <w:tab w:val="right" w:pos="9214"/>
          </w:tabs>
          <w:rPr>
            <w:rFonts w:asciiTheme="minorHAnsi" w:hAnsiTheme="minorHAns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7AE255B0" wp14:editId="57FE34ED">
              <wp:extent cx="1009650" cy="85725"/>
              <wp:effectExtent l="0" t="0" r="0" b="9525"/>
              <wp:docPr id="1" name="Picture 40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logo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1509"/>
                      <a:stretch/>
                    </pic:blipFill>
                    <pic:spPr bwMode="auto">
                      <a:xfrm>
                        <a:off x="0" y="0"/>
                        <a:ext cx="1009015" cy="856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rPr>
            <w:rFonts w:asciiTheme="minorHAnsi" w:hAnsiTheme="minorHAnsi"/>
            <w:sz w:val="16"/>
            <w:szCs w:val="16"/>
          </w:rPr>
          <w:tab/>
        </w:r>
        <w:r w:rsidR="00F26677">
          <w:rPr>
            <w:rFonts w:asciiTheme="minorHAnsi" w:hAnsiTheme="minorHAnsi"/>
            <w:sz w:val="16"/>
            <w:szCs w:val="16"/>
          </w:rPr>
          <w:t xml:space="preserve">Ministerio de Vivienda y Urbanismo  </w:t>
        </w:r>
        <w:r w:rsidR="00F26677">
          <w:rPr>
            <w:rFonts w:asciiTheme="minorHAnsi" w:hAnsiTheme="minorHAnsi" w:cstheme="minorHAnsi"/>
            <w:sz w:val="16"/>
            <w:szCs w:val="16"/>
          </w:rPr>
          <w:t>│  División de Desarrollo Urbano</w:t>
        </w:r>
        <w:r>
          <w:rPr>
            <w:rFonts w:asciiTheme="minorHAnsi" w:hAnsiTheme="minorHAnsi"/>
            <w:sz w:val="16"/>
            <w:szCs w:val="16"/>
          </w:rPr>
          <w:tab/>
        </w:r>
        <w:r w:rsidR="00887BA2" w:rsidRPr="00887BA2">
          <w:rPr>
            <w:rFonts w:asciiTheme="minorHAnsi" w:hAnsiTheme="minorHAnsi"/>
            <w:sz w:val="16"/>
            <w:szCs w:val="16"/>
          </w:rPr>
          <w:t xml:space="preserve">PAGINA   </w:t>
        </w:r>
        <w:r w:rsidR="00887BA2" w:rsidRPr="00887BA2">
          <w:rPr>
            <w:rFonts w:asciiTheme="minorHAnsi" w:hAnsiTheme="minorHAnsi"/>
            <w:sz w:val="16"/>
            <w:szCs w:val="16"/>
          </w:rPr>
          <w:fldChar w:fldCharType="begin"/>
        </w:r>
        <w:r w:rsidR="00887BA2" w:rsidRPr="00887BA2">
          <w:rPr>
            <w:rFonts w:asciiTheme="minorHAnsi" w:hAnsiTheme="minorHAnsi"/>
            <w:sz w:val="16"/>
            <w:szCs w:val="16"/>
          </w:rPr>
          <w:instrText>PAGE   \* MERGEFORMAT</w:instrText>
        </w:r>
        <w:r w:rsidR="00887BA2" w:rsidRPr="00887BA2">
          <w:rPr>
            <w:rFonts w:asciiTheme="minorHAnsi" w:hAnsiTheme="minorHAnsi"/>
            <w:sz w:val="16"/>
            <w:szCs w:val="16"/>
          </w:rPr>
          <w:fldChar w:fldCharType="separate"/>
        </w:r>
        <w:r w:rsidR="003F5644" w:rsidRPr="003F5644">
          <w:rPr>
            <w:rFonts w:asciiTheme="minorHAnsi" w:hAnsiTheme="minorHAnsi"/>
            <w:noProof/>
            <w:sz w:val="16"/>
            <w:szCs w:val="16"/>
            <w:lang w:val="es-ES"/>
          </w:rPr>
          <w:t>2</w:t>
        </w:r>
        <w:r w:rsidR="00887BA2" w:rsidRPr="00887BA2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1C" w:rsidRDefault="0033081C" w:rsidP="00887BA2">
      <w:r>
        <w:separator/>
      </w:r>
    </w:p>
  </w:footnote>
  <w:footnote w:type="continuationSeparator" w:id="0">
    <w:p w:rsidR="0033081C" w:rsidRDefault="0033081C" w:rsidP="0088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49" w:rsidRPr="00335F36" w:rsidRDefault="009B5149" w:rsidP="009B5149">
    <w:pPr>
      <w:pStyle w:val="Encabezado"/>
      <w:jc w:val="right"/>
      <w:rPr>
        <w:sz w:val="16"/>
        <w:szCs w:val="16"/>
      </w:rPr>
    </w:pPr>
  </w:p>
  <w:p w:rsidR="009B5149" w:rsidRDefault="009B5149" w:rsidP="009B5149">
    <w:pPr>
      <w:pStyle w:val="Encabezado"/>
      <w:jc w:val="right"/>
      <w:rPr>
        <w:rFonts w:asciiTheme="minorHAnsi" w:hAnsiTheme="minorHAnsi"/>
        <w:sz w:val="16"/>
        <w:szCs w:val="16"/>
      </w:rPr>
    </w:pPr>
  </w:p>
  <w:p w:rsidR="009B5149" w:rsidRPr="009B5149" w:rsidRDefault="009B5149" w:rsidP="009B5149">
    <w:pPr>
      <w:pStyle w:val="Encabezado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518"/>
    <w:multiLevelType w:val="hybridMultilevel"/>
    <w:tmpl w:val="AC8AC83A"/>
    <w:lvl w:ilvl="0" w:tplc="7EC486EC">
      <w:start w:val="1"/>
      <w:numFmt w:val="lowerLetter"/>
      <w:lvlText w:val="%1)"/>
      <w:lvlJc w:val="left"/>
      <w:pPr>
        <w:ind w:left="640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45" w:hanging="360"/>
      </w:pPr>
    </w:lvl>
    <w:lvl w:ilvl="2" w:tplc="340A001B" w:tentative="1">
      <w:start w:val="1"/>
      <w:numFmt w:val="lowerRoman"/>
      <w:lvlText w:val="%3."/>
      <w:lvlJc w:val="right"/>
      <w:pPr>
        <w:ind w:left="2065" w:hanging="180"/>
      </w:pPr>
    </w:lvl>
    <w:lvl w:ilvl="3" w:tplc="340A000F" w:tentative="1">
      <w:start w:val="1"/>
      <w:numFmt w:val="decimal"/>
      <w:lvlText w:val="%4."/>
      <w:lvlJc w:val="left"/>
      <w:pPr>
        <w:ind w:left="2785" w:hanging="360"/>
      </w:pPr>
    </w:lvl>
    <w:lvl w:ilvl="4" w:tplc="340A0019" w:tentative="1">
      <w:start w:val="1"/>
      <w:numFmt w:val="lowerLetter"/>
      <w:lvlText w:val="%5."/>
      <w:lvlJc w:val="left"/>
      <w:pPr>
        <w:ind w:left="3505" w:hanging="360"/>
      </w:pPr>
    </w:lvl>
    <w:lvl w:ilvl="5" w:tplc="340A001B" w:tentative="1">
      <w:start w:val="1"/>
      <w:numFmt w:val="lowerRoman"/>
      <w:lvlText w:val="%6."/>
      <w:lvlJc w:val="right"/>
      <w:pPr>
        <w:ind w:left="4225" w:hanging="180"/>
      </w:pPr>
    </w:lvl>
    <w:lvl w:ilvl="6" w:tplc="340A000F" w:tentative="1">
      <w:start w:val="1"/>
      <w:numFmt w:val="decimal"/>
      <w:lvlText w:val="%7."/>
      <w:lvlJc w:val="left"/>
      <w:pPr>
        <w:ind w:left="4945" w:hanging="360"/>
      </w:pPr>
    </w:lvl>
    <w:lvl w:ilvl="7" w:tplc="340A0019" w:tentative="1">
      <w:start w:val="1"/>
      <w:numFmt w:val="lowerLetter"/>
      <w:lvlText w:val="%8."/>
      <w:lvlJc w:val="left"/>
      <w:pPr>
        <w:ind w:left="5665" w:hanging="360"/>
      </w:pPr>
    </w:lvl>
    <w:lvl w:ilvl="8" w:tplc="340A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 w15:restartNumberingAfterBreak="0">
    <w:nsid w:val="15A16765"/>
    <w:multiLevelType w:val="hybridMultilevel"/>
    <w:tmpl w:val="5F4A1FF6"/>
    <w:lvl w:ilvl="0" w:tplc="741025D2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45" w:hanging="360"/>
      </w:pPr>
    </w:lvl>
    <w:lvl w:ilvl="2" w:tplc="340A001B" w:tentative="1">
      <w:start w:val="1"/>
      <w:numFmt w:val="lowerRoman"/>
      <w:lvlText w:val="%3."/>
      <w:lvlJc w:val="right"/>
      <w:pPr>
        <w:ind w:left="2065" w:hanging="180"/>
      </w:pPr>
    </w:lvl>
    <w:lvl w:ilvl="3" w:tplc="340A000F" w:tentative="1">
      <w:start w:val="1"/>
      <w:numFmt w:val="decimal"/>
      <w:lvlText w:val="%4."/>
      <w:lvlJc w:val="left"/>
      <w:pPr>
        <w:ind w:left="2785" w:hanging="360"/>
      </w:pPr>
    </w:lvl>
    <w:lvl w:ilvl="4" w:tplc="340A0019" w:tentative="1">
      <w:start w:val="1"/>
      <w:numFmt w:val="lowerLetter"/>
      <w:lvlText w:val="%5."/>
      <w:lvlJc w:val="left"/>
      <w:pPr>
        <w:ind w:left="3505" w:hanging="360"/>
      </w:pPr>
    </w:lvl>
    <w:lvl w:ilvl="5" w:tplc="340A001B" w:tentative="1">
      <w:start w:val="1"/>
      <w:numFmt w:val="lowerRoman"/>
      <w:lvlText w:val="%6."/>
      <w:lvlJc w:val="right"/>
      <w:pPr>
        <w:ind w:left="4225" w:hanging="180"/>
      </w:pPr>
    </w:lvl>
    <w:lvl w:ilvl="6" w:tplc="340A000F" w:tentative="1">
      <w:start w:val="1"/>
      <w:numFmt w:val="decimal"/>
      <w:lvlText w:val="%7."/>
      <w:lvlJc w:val="left"/>
      <w:pPr>
        <w:ind w:left="4945" w:hanging="360"/>
      </w:pPr>
    </w:lvl>
    <w:lvl w:ilvl="7" w:tplc="340A0019" w:tentative="1">
      <w:start w:val="1"/>
      <w:numFmt w:val="lowerLetter"/>
      <w:lvlText w:val="%8."/>
      <w:lvlJc w:val="left"/>
      <w:pPr>
        <w:ind w:left="5665" w:hanging="360"/>
      </w:pPr>
    </w:lvl>
    <w:lvl w:ilvl="8" w:tplc="340A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" w15:restartNumberingAfterBreak="0">
    <w:nsid w:val="17DD381E"/>
    <w:multiLevelType w:val="hybridMultilevel"/>
    <w:tmpl w:val="23EEC228"/>
    <w:lvl w:ilvl="0" w:tplc="23643E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0ED8B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4E4E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78E4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F36DF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74E2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E6C5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8AB4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D8E8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B3A2F"/>
    <w:multiLevelType w:val="hybridMultilevel"/>
    <w:tmpl w:val="A464206A"/>
    <w:lvl w:ilvl="0" w:tplc="E19A747C">
      <w:start w:val="1"/>
      <w:numFmt w:val="lowerLetter"/>
      <w:lvlText w:val="%1)"/>
      <w:lvlJc w:val="left"/>
      <w:pPr>
        <w:ind w:left="618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338" w:hanging="360"/>
      </w:pPr>
    </w:lvl>
    <w:lvl w:ilvl="2" w:tplc="0C0A001B" w:tentative="1">
      <w:start w:val="1"/>
      <w:numFmt w:val="lowerRoman"/>
      <w:lvlText w:val="%3."/>
      <w:lvlJc w:val="right"/>
      <w:pPr>
        <w:ind w:left="2058" w:hanging="180"/>
      </w:pPr>
    </w:lvl>
    <w:lvl w:ilvl="3" w:tplc="0C0A000F" w:tentative="1">
      <w:start w:val="1"/>
      <w:numFmt w:val="decimal"/>
      <w:lvlText w:val="%4."/>
      <w:lvlJc w:val="left"/>
      <w:pPr>
        <w:ind w:left="2778" w:hanging="360"/>
      </w:pPr>
    </w:lvl>
    <w:lvl w:ilvl="4" w:tplc="0C0A0019" w:tentative="1">
      <w:start w:val="1"/>
      <w:numFmt w:val="lowerLetter"/>
      <w:lvlText w:val="%5."/>
      <w:lvlJc w:val="left"/>
      <w:pPr>
        <w:ind w:left="3498" w:hanging="360"/>
      </w:pPr>
    </w:lvl>
    <w:lvl w:ilvl="5" w:tplc="0C0A001B" w:tentative="1">
      <w:start w:val="1"/>
      <w:numFmt w:val="lowerRoman"/>
      <w:lvlText w:val="%6."/>
      <w:lvlJc w:val="right"/>
      <w:pPr>
        <w:ind w:left="4218" w:hanging="180"/>
      </w:pPr>
    </w:lvl>
    <w:lvl w:ilvl="6" w:tplc="0C0A000F" w:tentative="1">
      <w:start w:val="1"/>
      <w:numFmt w:val="decimal"/>
      <w:lvlText w:val="%7."/>
      <w:lvlJc w:val="left"/>
      <w:pPr>
        <w:ind w:left="4938" w:hanging="360"/>
      </w:pPr>
    </w:lvl>
    <w:lvl w:ilvl="7" w:tplc="0C0A0019" w:tentative="1">
      <w:start w:val="1"/>
      <w:numFmt w:val="lowerLetter"/>
      <w:lvlText w:val="%8."/>
      <w:lvlJc w:val="left"/>
      <w:pPr>
        <w:ind w:left="5658" w:hanging="360"/>
      </w:pPr>
    </w:lvl>
    <w:lvl w:ilvl="8" w:tplc="0C0A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25AD050E"/>
    <w:multiLevelType w:val="hybridMultilevel"/>
    <w:tmpl w:val="D62C17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CE3"/>
    <w:multiLevelType w:val="multilevel"/>
    <w:tmpl w:val="B5A2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40D"/>
    <w:multiLevelType w:val="hybridMultilevel"/>
    <w:tmpl w:val="DD2EC91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AC0E3AC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CE285E"/>
    <w:multiLevelType w:val="hybridMultilevel"/>
    <w:tmpl w:val="C818CE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B2ED8"/>
    <w:multiLevelType w:val="hybridMultilevel"/>
    <w:tmpl w:val="CFD6E5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946B6FA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11C2AB8"/>
    <w:multiLevelType w:val="hybridMultilevel"/>
    <w:tmpl w:val="D9B694BC"/>
    <w:lvl w:ilvl="0" w:tplc="6C265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53517"/>
    <w:multiLevelType w:val="hybridMultilevel"/>
    <w:tmpl w:val="E146C3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B6F47"/>
    <w:multiLevelType w:val="hybridMultilevel"/>
    <w:tmpl w:val="F44804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E1C7A"/>
    <w:multiLevelType w:val="multilevel"/>
    <w:tmpl w:val="2C2841F6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5676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13" w15:restartNumberingAfterBreak="0">
    <w:nsid w:val="4322332A"/>
    <w:multiLevelType w:val="hybridMultilevel"/>
    <w:tmpl w:val="417CC156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42E63EB"/>
    <w:multiLevelType w:val="hybridMultilevel"/>
    <w:tmpl w:val="D42C4E3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4E78C4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  <w:color w:val="auto"/>
        <w:sz w:val="18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5D245BB"/>
    <w:multiLevelType w:val="hybridMultilevel"/>
    <w:tmpl w:val="94A02AB8"/>
    <w:lvl w:ilvl="0" w:tplc="32508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6E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C0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C8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8B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23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C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4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AC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C4D685A"/>
    <w:multiLevelType w:val="hybridMultilevel"/>
    <w:tmpl w:val="99863578"/>
    <w:lvl w:ilvl="0" w:tplc="731A1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418F"/>
    <w:multiLevelType w:val="hybridMultilevel"/>
    <w:tmpl w:val="5E5A2D4A"/>
    <w:lvl w:ilvl="0" w:tplc="8C9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8E6AE8"/>
    <w:multiLevelType w:val="hybridMultilevel"/>
    <w:tmpl w:val="5FF808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32E5ED8"/>
    <w:multiLevelType w:val="hybridMultilevel"/>
    <w:tmpl w:val="655A87CC"/>
    <w:lvl w:ilvl="0" w:tplc="18280D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5CD11A2A"/>
    <w:multiLevelType w:val="hybridMultilevel"/>
    <w:tmpl w:val="D54654A6"/>
    <w:lvl w:ilvl="0" w:tplc="E6F6330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D875CB"/>
    <w:multiLevelType w:val="hybridMultilevel"/>
    <w:tmpl w:val="5F94244A"/>
    <w:lvl w:ilvl="0" w:tplc="374E0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8F386A"/>
    <w:multiLevelType w:val="hybridMultilevel"/>
    <w:tmpl w:val="ECDA2FD6"/>
    <w:lvl w:ilvl="0" w:tplc="879AB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5D1E8F"/>
    <w:multiLevelType w:val="hybridMultilevel"/>
    <w:tmpl w:val="1D3A7D8C"/>
    <w:lvl w:ilvl="0" w:tplc="00227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A009C">
      <w:start w:val="3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21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68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A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6A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C9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04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02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4A76988"/>
    <w:multiLevelType w:val="hybridMultilevel"/>
    <w:tmpl w:val="ABFA0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1402E"/>
    <w:multiLevelType w:val="hybridMultilevel"/>
    <w:tmpl w:val="D2E67D4E"/>
    <w:lvl w:ilvl="0" w:tplc="B1F6A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00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2A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AF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AE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C2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AD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6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A5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23"/>
  </w:num>
  <w:num w:numId="5">
    <w:abstractNumId w:val="15"/>
  </w:num>
  <w:num w:numId="6">
    <w:abstractNumId w:val="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</w:num>
  <w:num w:numId="13">
    <w:abstractNumId w:val="4"/>
  </w:num>
  <w:num w:numId="14">
    <w:abstractNumId w:val="8"/>
  </w:num>
  <w:num w:numId="15">
    <w:abstractNumId w:val="10"/>
  </w:num>
  <w:num w:numId="16">
    <w:abstractNumId w:val="3"/>
  </w:num>
  <w:num w:numId="17">
    <w:abstractNumId w:val="13"/>
  </w:num>
  <w:num w:numId="18">
    <w:abstractNumId w:val="6"/>
  </w:num>
  <w:num w:numId="19">
    <w:abstractNumId w:val="0"/>
  </w:num>
  <w:num w:numId="20">
    <w:abstractNumId w:val="1"/>
  </w:num>
  <w:num w:numId="21">
    <w:abstractNumId w:val="5"/>
  </w:num>
  <w:num w:numId="22">
    <w:abstractNumId w:val="11"/>
  </w:num>
  <w:num w:numId="23">
    <w:abstractNumId w:val="9"/>
  </w:num>
  <w:num w:numId="24">
    <w:abstractNumId w:val="22"/>
  </w:num>
  <w:num w:numId="25">
    <w:abstractNumId w:val="17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29"/>
    <w:rsid w:val="00006025"/>
    <w:rsid w:val="00016086"/>
    <w:rsid w:val="00016D46"/>
    <w:rsid w:val="00024EEB"/>
    <w:rsid w:val="00056041"/>
    <w:rsid w:val="000568DA"/>
    <w:rsid w:val="00060E57"/>
    <w:rsid w:val="000610A2"/>
    <w:rsid w:val="00085179"/>
    <w:rsid w:val="000904BB"/>
    <w:rsid w:val="000B0349"/>
    <w:rsid w:val="000B636F"/>
    <w:rsid w:val="000F0B8D"/>
    <w:rsid w:val="000F1A26"/>
    <w:rsid w:val="000F596A"/>
    <w:rsid w:val="000F706C"/>
    <w:rsid w:val="00157ED7"/>
    <w:rsid w:val="00172192"/>
    <w:rsid w:val="00173115"/>
    <w:rsid w:val="00176939"/>
    <w:rsid w:val="00180D32"/>
    <w:rsid w:val="00194B21"/>
    <w:rsid w:val="001A501A"/>
    <w:rsid w:val="001C1ED4"/>
    <w:rsid w:val="001C3290"/>
    <w:rsid w:val="001C331B"/>
    <w:rsid w:val="001C60AD"/>
    <w:rsid w:val="001D5837"/>
    <w:rsid w:val="001F2242"/>
    <w:rsid w:val="001F671B"/>
    <w:rsid w:val="00224294"/>
    <w:rsid w:val="0023502E"/>
    <w:rsid w:val="00243658"/>
    <w:rsid w:val="00281AB8"/>
    <w:rsid w:val="0029069D"/>
    <w:rsid w:val="002A320F"/>
    <w:rsid w:val="002A4270"/>
    <w:rsid w:val="002F656B"/>
    <w:rsid w:val="00306626"/>
    <w:rsid w:val="00307365"/>
    <w:rsid w:val="00324F13"/>
    <w:rsid w:val="0033081C"/>
    <w:rsid w:val="00331828"/>
    <w:rsid w:val="00334D09"/>
    <w:rsid w:val="00335B5A"/>
    <w:rsid w:val="00335F36"/>
    <w:rsid w:val="00351F88"/>
    <w:rsid w:val="0035346E"/>
    <w:rsid w:val="003B3229"/>
    <w:rsid w:val="003B5661"/>
    <w:rsid w:val="003E17DF"/>
    <w:rsid w:val="003F168E"/>
    <w:rsid w:val="003F3A88"/>
    <w:rsid w:val="003F4D62"/>
    <w:rsid w:val="003F5644"/>
    <w:rsid w:val="0043419A"/>
    <w:rsid w:val="004367A6"/>
    <w:rsid w:val="0044327C"/>
    <w:rsid w:val="004541FA"/>
    <w:rsid w:val="00457C35"/>
    <w:rsid w:val="00465E7C"/>
    <w:rsid w:val="004928B7"/>
    <w:rsid w:val="00493C15"/>
    <w:rsid w:val="00497E72"/>
    <w:rsid w:val="004C3E7D"/>
    <w:rsid w:val="004C455F"/>
    <w:rsid w:val="004E5AAE"/>
    <w:rsid w:val="004F23E7"/>
    <w:rsid w:val="004F4CF9"/>
    <w:rsid w:val="0050253B"/>
    <w:rsid w:val="005035A6"/>
    <w:rsid w:val="005135A4"/>
    <w:rsid w:val="00515490"/>
    <w:rsid w:val="00516DB1"/>
    <w:rsid w:val="00546F12"/>
    <w:rsid w:val="00553540"/>
    <w:rsid w:val="00561F8C"/>
    <w:rsid w:val="00564BEF"/>
    <w:rsid w:val="00585E37"/>
    <w:rsid w:val="005B3750"/>
    <w:rsid w:val="005F5164"/>
    <w:rsid w:val="00605713"/>
    <w:rsid w:val="006279D5"/>
    <w:rsid w:val="00643421"/>
    <w:rsid w:val="00657B95"/>
    <w:rsid w:val="0066699D"/>
    <w:rsid w:val="006813FF"/>
    <w:rsid w:val="00686763"/>
    <w:rsid w:val="00693D81"/>
    <w:rsid w:val="006A09F7"/>
    <w:rsid w:val="006B3E22"/>
    <w:rsid w:val="006C0F2C"/>
    <w:rsid w:val="006C4793"/>
    <w:rsid w:val="006D68E0"/>
    <w:rsid w:val="006E36B9"/>
    <w:rsid w:val="006E590B"/>
    <w:rsid w:val="006F4FF1"/>
    <w:rsid w:val="00702B3C"/>
    <w:rsid w:val="00714556"/>
    <w:rsid w:val="00725C01"/>
    <w:rsid w:val="00727961"/>
    <w:rsid w:val="00732ECC"/>
    <w:rsid w:val="00733608"/>
    <w:rsid w:val="00734237"/>
    <w:rsid w:val="00744F25"/>
    <w:rsid w:val="007617CD"/>
    <w:rsid w:val="00764247"/>
    <w:rsid w:val="00785B7E"/>
    <w:rsid w:val="007A0C99"/>
    <w:rsid w:val="007A5A72"/>
    <w:rsid w:val="007A5D80"/>
    <w:rsid w:val="007B3042"/>
    <w:rsid w:val="007C2FFC"/>
    <w:rsid w:val="007C64C5"/>
    <w:rsid w:val="007D1778"/>
    <w:rsid w:val="007E1265"/>
    <w:rsid w:val="007E5BD5"/>
    <w:rsid w:val="007E70D1"/>
    <w:rsid w:val="00806C9A"/>
    <w:rsid w:val="00806CFE"/>
    <w:rsid w:val="0082773D"/>
    <w:rsid w:val="00842394"/>
    <w:rsid w:val="00847C1E"/>
    <w:rsid w:val="00852377"/>
    <w:rsid w:val="00854CA0"/>
    <w:rsid w:val="00863E7C"/>
    <w:rsid w:val="008812C6"/>
    <w:rsid w:val="00887BA2"/>
    <w:rsid w:val="008A79A2"/>
    <w:rsid w:val="008B1CAF"/>
    <w:rsid w:val="008B238A"/>
    <w:rsid w:val="008C0FB8"/>
    <w:rsid w:val="008C39A7"/>
    <w:rsid w:val="008D7708"/>
    <w:rsid w:val="008E5F30"/>
    <w:rsid w:val="008F21F8"/>
    <w:rsid w:val="008F6C18"/>
    <w:rsid w:val="00904CF2"/>
    <w:rsid w:val="00910716"/>
    <w:rsid w:val="00911ADA"/>
    <w:rsid w:val="009340B7"/>
    <w:rsid w:val="00937257"/>
    <w:rsid w:val="00950F40"/>
    <w:rsid w:val="00954B7D"/>
    <w:rsid w:val="009647F9"/>
    <w:rsid w:val="00976360"/>
    <w:rsid w:val="00984D93"/>
    <w:rsid w:val="009B5149"/>
    <w:rsid w:val="009C2C5C"/>
    <w:rsid w:val="009F297D"/>
    <w:rsid w:val="009F4CB1"/>
    <w:rsid w:val="00A453BC"/>
    <w:rsid w:val="00A477D0"/>
    <w:rsid w:val="00A520A0"/>
    <w:rsid w:val="00A649A6"/>
    <w:rsid w:val="00A85339"/>
    <w:rsid w:val="00A9082E"/>
    <w:rsid w:val="00A939E9"/>
    <w:rsid w:val="00AA57D1"/>
    <w:rsid w:val="00AA61A6"/>
    <w:rsid w:val="00AC0D10"/>
    <w:rsid w:val="00AC4643"/>
    <w:rsid w:val="00AD4236"/>
    <w:rsid w:val="00AD6C47"/>
    <w:rsid w:val="00AE61AB"/>
    <w:rsid w:val="00AE7756"/>
    <w:rsid w:val="00AF4C50"/>
    <w:rsid w:val="00B11AC1"/>
    <w:rsid w:val="00B3729B"/>
    <w:rsid w:val="00B70539"/>
    <w:rsid w:val="00B757BD"/>
    <w:rsid w:val="00B937A4"/>
    <w:rsid w:val="00B9723A"/>
    <w:rsid w:val="00B9793F"/>
    <w:rsid w:val="00BA168D"/>
    <w:rsid w:val="00BA6767"/>
    <w:rsid w:val="00BB1789"/>
    <w:rsid w:val="00BD32B4"/>
    <w:rsid w:val="00BD4064"/>
    <w:rsid w:val="00C04699"/>
    <w:rsid w:val="00C13CDA"/>
    <w:rsid w:val="00C14513"/>
    <w:rsid w:val="00C63233"/>
    <w:rsid w:val="00C63B69"/>
    <w:rsid w:val="00C71973"/>
    <w:rsid w:val="00C90C9D"/>
    <w:rsid w:val="00C90FBC"/>
    <w:rsid w:val="00CA467D"/>
    <w:rsid w:val="00CC3329"/>
    <w:rsid w:val="00CC4EF6"/>
    <w:rsid w:val="00CD2651"/>
    <w:rsid w:val="00CE0CFE"/>
    <w:rsid w:val="00CE46E3"/>
    <w:rsid w:val="00CF42AF"/>
    <w:rsid w:val="00D24622"/>
    <w:rsid w:val="00D27525"/>
    <w:rsid w:val="00D5301C"/>
    <w:rsid w:val="00D55EBB"/>
    <w:rsid w:val="00D6049D"/>
    <w:rsid w:val="00D616B2"/>
    <w:rsid w:val="00D71019"/>
    <w:rsid w:val="00D72002"/>
    <w:rsid w:val="00DA6BA1"/>
    <w:rsid w:val="00DF569D"/>
    <w:rsid w:val="00E25FB5"/>
    <w:rsid w:val="00E35B29"/>
    <w:rsid w:val="00E4594F"/>
    <w:rsid w:val="00E45C79"/>
    <w:rsid w:val="00E568A1"/>
    <w:rsid w:val="00E568CA"/>
    <w:rsid w:val="00E641E6"/>
    <w:rsid w:val="00E65882"/>
    <w:rsid w:val="00EB6449"/>
    <w:rsid w:val="00EC4BB4"/>
    <w:rsid w:val="00EC5971"/>
    <w:rsid w:val="00ED5F1D"/>
    <w:rsid w:val="00ED62AC"/>
    <w:rsid w:val="00EE0D62"/>
    <w:rsid w:val="00F228EB"/>
    <w:rsid w:val="00F26497"/>
    <w:rsid w:val="00F26677"/>
    <w:rsid w:val="00F32127"/>
    <w:rsid w:val="00F33347"/>
    <w:rsid w:val="00F41E1D"/>
    <w:rsid w:val="00F420EC"/>
    <w:rsid w:val="00F44B50"/>
    <w:rsid w:val="00F6490B"/>
    <w:rsid w:val="00F866CB"/>
    <w:rsid w:val="00FA7E7C"/>
    <w:rsid w:val="00FB74CE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8A697"/>
  <w15:docId w15:val="{C6260789-823E-48CC-A6AD-FD1257BE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33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B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0D10"/>
    <w:pPr>
      <w:spacing w:before="100" w:beforeAutospacing="1" w:after="100" w:afterAutospacing="1"/>
    </w:pPr>
    <w:rPr>
      <w:lang w:val="es-ES" w:eastAsia="es-ES"/>
    </w:rPr>
  </w:style>
  <w:style w:type="paragraph" w:customStyle="1" w:styleId="DINFOFormatoAntecedentes">
    <w:name w:val="DINFO Formato Antecedentes"/>
    <w:basedOn w:val="Normal"/>
    <w:link w:val="DINFOFormatoAntecedentesCar"/>
    <w:autoRedefine/>
    <w:qFormat/>
    <w:rsid w:val="00CF42AF"/>
    <w:pPr>
      <w:tabs>
        <w:tab w:val="right" w:pos="4678"/>
        <w:tab w:val="left" w:pos="5954"/>
      </w:tabs>
      <w:ind w:left="4962" w:hanging="5335"/>
      <w:jc w:val="both"/>
    </w:pPr>
    <w:rPr>
      <w:rFonts w:asciiTheme="minorHAnsi" w:eastAsia="Calibri" w:hAnsiTheme="minorHAnsi"/>
      <w:sz w:val="20"/>
      <w:szCs w:val="20"/>
      <w:lang w:val="es-ES" w:eastAsia="es-ES"/>
    </w:rPr>
  </w:style>
  <w:style w:type="character" w:customStyle="1" w:styleId="DINFOFormatoAntecedentesCar">
    <w:name w:val="DINFO Formato Antecedentes Car"/>
    <w:link w:val="DINFOFormatoAntecedentes"/>
    <w:rsid w:val="00CF42AF"/>
    <w:rPr>
      <w:rFonts w:eastAsia="Calibri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87B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7BA2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887B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A2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1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149"/>
    <w:rPr>
      <w:rFonts w:ascii="Tahoma" w:eastAsia="Times New Roman" w:hAnsi="Tahoma" w:cs="Tahoma"/>
      <w:sz w:val="16"/>
      <w:szCs w:val="16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unhideWhenUsed/>
    <w:rsid w:val="00657B95"/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7B95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uiPriority w:val="99"/>
    <w:unhideWhenUsed/>
    <w:rsid w:val="00657B95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336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2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0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9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5016-FCEA-45AC-895D-DA20F036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Angelica Ramirez Corvalan</dc:creator>
  <cp:lastModifiedBy>Maria Francisca Gonzalez Castro</cp:lastModifiedBy>
  <cp:revision>3</cp:revision>
  <cp:lastPrinted>2019-10-04T18:57:00Z</cp:lastPrinted>
  <dcterms:created xsi:type="dcterms:W3CDTF">2021-07-12T14:26:00Z</dcterms:created>
  <dcterms:modified xsi:type="dcterms:W3CDTF">2021-07-12T15:00:00Z</dcterms:modified>
</cp:coreProperties>
</file>